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bookmarkStart w:id="11" w:name="_GoBack"/>
      <w:r>
        <w:rPr>
          <w:rFonts w:hint="eastAsia" w:ascii="仿宋" w:hAnsi="仿宋" w:eastAsia="仿宋"/>
          <w:b/>
          <w:bCs/>
          <w:sz w:val="44"/>
          <w:szCs w:val="44"/>
          <w:highlight w:val="none"/>
          <w:lang w:eastAsia="zh-CN"/>
        </w:rPr>
        <w:t>微山县人民医院新院区病案存放专用柜采购项目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48"/>
          <w:szCs w:val="48"/>
          <w:highlight w:val="none"/>
        </w:rPr>
      </w:pPr>
      <w:r>
        <w:rPr>
          <w:rFonts w:hint="eastAsia" w:ascii="仿宋" w:hAnsi="仿宋" w:eastAsia="仿宋"/>
          <w:b/>
          <w:bCs/>
          <w:sz w:val="48"/>
          <w:szCs w:val="48"/>
          <w:highlight w:val="none"/>
        </w:rPr>
        <w:t>竞争性磋商文件</w:t>
      </w:r>
    </w:p>
    <w:bookmarkEnd w:id="11"/>
    <w:p>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w:t>
      </w:r>
      <w:r>
        <w:rPr>
          <w:rFonts w:hint="eastAsia" w:ascii="仿宋" w:hAnsi="仿宋" w:eastAsia="仿宋" w:cs="宋体"/>
          <w:b/>
          <w:sz w:val="36"/>
          <w:szCs w:val="36"/>
          <w:highlight w:val="none"/>
          <w:lang w:val="en-US" w:eastAsia="zh-CN"/>
        </w:rPr>
        <w:t>20</w:t>
      </w:r>
    </w:p>
    <w:p>
      <w:pPr>
        <w:pStyle w:val="11"/>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pPr>
        <w:pStyle w:val="11"/>
        <w:rPr>
          <w:rFonts w:ascii="仿宋" w:hAnsi="仿宋" w:eastAsia="仿宋" w:cs="宋体"/>
          <w:b/>
          <w:sz w:val="32"/>
          <w:szCs w:val="32"/>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5</w:t>
      </w:r>
      <w:r>
        <w:rPr>
          <w:rFonts w:hint="eastAsia" w:ascii="仿宋" w:hAnsi="仿宋" w:eastAsia="仿宋"/>
          <w:b/>
          <w:color w:val="000000"/>
          <w:sz w:val="36"/>
          <w:szCs w:val="36"/>
          <w:highlight w:val="none"/>
          <w:lang w:eastAsia="zh-CN"/>
        </w:rPr>
        <w:t>月</w:t>
      </w:r>
    </w:p>
    <w:p>
      <w:pPr>
        <w:widowControl/>
        <w:spacing w:line="720" w:lineRule="auto"/>
        <w:jc w:val="both"/>
        <w:rPr>
          <w:rFonts w:hint="eastAsia" w:ascii="仿宋" w:hAnsi="仿宋" w:eastAsia="仿宋"/>
          <w:b/>
          <w:bCs/>
          <w:sz w:val="44"/>
          <w:szCs w:val="110"/>
          <w:highlight w:val="none"/>
        </w:rPr>
      </w:pP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第六部分 政府采购合同</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1"/>
        <w:jc w:val="center"/>
        <w:rPr>
          <w:rFonts w:hint="eastAsia" w:ascii="仿宋" w:hAnsi="仿宋" w:eastAsia="仿宋"/>
          <w:b/>
          <w:bCs/>
          <w:sz w:val="32"/>
          <w:szCs w:val="32"/>
          <w:highlight w:val="none"/>
          <w:lang w:eastAsia="zh-CN"/>
        </w:rPr>
      </w:pPr>
      <w:r>
        <w:rPr>
          <w:highlight w:val="none"/>
        </w:rPr>
        <w:br w:type="page"/>
      </w:r>
      <w:r>
        <w:rPr>
          <w:rFonts w:ascii="仿宋" w:hAnsi="仿宋" w:eastAsia="仿宋"/>
          <w:b/>
          <w:bCs/>
          <w:sz w:val="32"/>
          <w:szCs w:val="32"/>
          <w:highlight w:val="none"/>
        </w:rPr>
        <w:t>第一部分</w:t>
      </w:r>
      <w:r>
        <w:rPr>
          <w:rFonts w:hint="eastAsia" w:ascii="仿宋" w:hAnsi="仿宋" w:eastAsia="仿宋"/>
          <w:b/>
          <w:bCs/>
          <w:sz w:val="30"/>
          <w:szCs w:val="30"/>
          <w:highlight w:val="none"/>
          <w:lang w:eastAsia="zh-CN"/>
        </w:rPr>
        <w:t>微山县人民医院新院区病案存放专用柜采购项目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 xml:space="preserve">联系人：赵主任                           联系电话：13506381906 </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w:t>
      </w:r>
      <w:r>
        <w:rPr>
          <w:rFonts w:hint="eastAsia" w:ascii="仿宋" w:hAnsi="仿宋" w:eastAsia="仿宋" w:cs="Arial"/>
          <w:sz w:val="28"/>
          <w:szCs w:val="28"/>
          <w:highlight w:val="none"/>
          <w:lang w:val="en-US" w:eastAsia="zh-CN"/>
        </w:rPr>
        <w:tab/>
      </w:r>
      <w:r>
        <w:rPr>
          <w:rFonts w:hint="eastAsia" w:ascii="仿宋" w:hAnsi="仿宋" w:eastAsia="仿宋" w:cs="Arial"/>
          <w:sz w:val="28"/>
          <w:szCs w:val="28"/>
          <w:highlight w:val="none"/>
          <w:lang w:val="en-US" w:eastAsia="zh-CN"/>
        </w:rPr>
        <w:t xml:space="preserve">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微山县人民医院新院区病案存放专用柜采购项目</w:t>
      </w:r>
      <w:r>
        <w:rPr>
          <w:rFonts w:hint="eastAsia" w:ascii="仿宋" w:hAnsi="仿宋" w:eastAsia="仿宋" w:cs="Times New Roman"/>
          <w:color w:val="000000"/>
          <w:kern w:val="0"/>
          <w:sz w:val="28"/>
          <w:szCs w:val="28"/>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：WSND-2025-XM020</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27"/>
        <w:gridCol w:w="623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2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A</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Arial"/>
                <w:sz w:val="28"/>
                <w:szCs w:val="28"/>
                <w:highlight w:val="none"/>
                <w:lang w:eastAsia="zh-CN"/>
              </w:rPr>
              <w:t>新院区病案存放专用柜采购项目</w:t>
            </w:r>
          </w:p>
        </w:tc>
        <w:tc>
          <w:tcPr>
            <w:tcW w:w="6239" w:type="dxa"/>
            <w:noWrap w:val="0"/>
            <w:vAlign w:val="center"/>
          </w:tcPr>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6、单位负责人为同一人或者存在直接控股、管理关系的不同供应商，不得参加同一合同</w:t>
            </w:r>
            <w:r>
              <w:rPr>
                <w:rFonts w:hint="eastAsia" w:ascii="仿宋" w:hAnsi="仿宋" w:eastAsia="仿宋" w:cs="宋体"/>
                <w:color w:val="000000"/>
                <w:kern w:val="0"/>
                <w:sz w:val="28"/>
                <w:szCs w:val="28"/>
                <w:highlight w:val="none"/>
                <w:lang w:eastAsia="zh-CN"/>
              </w:rPr>
              <w:t>项下的政府采购活动；</w:t>
            </w:r>
            <w:r>
              <w:rPr>
                <w:rFonts w:hint="eastAsia" w:ascii="仿宋" w:hAnsi="仿宋" w:eastAsia="仿宋" w:cs="宋体"/>
                <w:color w:val="000000"/>
                <w:kern w:val="0"/>
                <w:sz w:val="28"/>
                <w:szCs w:val="28"/>
                <w:highlight w:val="none"/>
              </w:rPr>
              <w:t>法律、行政法规规定的其他条件；</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rPr>
              <w:t>7、一个供应商只能提交一个响应文件。</w:t>
            </w:r>
            <w:r>
              <w:rPr>
                <w:rFonts w:hint="eastAsia" w:ascii="仿宋" w:hAnsi="仿宋" w:eastAsia="仿宋" w:cs="宋体"/>
                <w:color w:val="000000"/>
                <w:kern w:val="0"/>
                <w:sz w:val="28"/>
                <w:szCs w:val="28"/>
                <w:highlight w:val="none"/>
                <w:lang w:val="en-US" w:eastAsia="zh-CN"/>
              </w:rPr>
              <w:t>供应商应具有有效的营业执照。</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color w:val="000000"/>
                <w:kern w:val="0"/>
                <w:sz w:val="28"/>
                <w:szCs w:val="28"/>
                <w:highlight w:val="none"/>
              </w:rPr>
              <w:t>本项目资格审查方式：资格后审。</w:t>
            </w:r>
          </w:p>
        </w:tc>
        <w:tc>
          <w:tcPr>
            <w:tcW w:w="1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15万元</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5</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9</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5</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15</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及授权委托人身份证原件、信用查询（信用信息查询渠道：信用中国、中国政府采购网信用山东）网站截图加盖公章、，</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四、递交报价文件时间及地点: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20</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00</w:t>
      </w:r>
      <w:r>
        <w:rPr>
          <w:rFonts w:hint="eastAsia" w:ascii="仿宋" w:hAnsi="仿宋" w:eastAsia="仿宋"/>
          <w:color w:val="000000"/>
          <w:sz w:val="28"/>
          <w:szCs w:val="28"/>
          <w:highlight w:val="none"/>
          <w:lang w:eastAsia="zh-CN"/>
        </w:rPr>
        <w:t>分至2025年</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20</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20</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13506381906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 xml:space="preserve">赵主任 </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13506381906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cs="Arial"/>
                <w:sz w:val="28"/>
                <w:szCs w:val="28"/>
                <w:highlight w:val="none"/>
                <w:lang w:val="en-US"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微山县人民医院新院区病案存放专用柜采购项目，</w:t>
            </w:r>
            <w:r>
              <w:rPr>
                <w:rFonts w:hint="eastAsia" w:ascii="仿宋" w:hAnsi="仿宋" w:eastAsia="仿宋" w:cs="Times New Roman"/>
                <w:sz w:val="28"/>
                <w:highlight w:val="none"/>
                <w:lang w:val="en-US" w:eastAsia="zh-CN"/>
              </w:rPr>
              <w:t>新院区搬迁后，为规范存放及高效管理纸质病案，约可安装14列档案柜(每列6组)，合计84组。具体实际安装数量，以医院要求和现场实际情况为准。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供货地点</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供货安装期</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签订合同后</w:t>
            </w:r>
            <w:r>
              <w:rPr>
                <w:rFonts w:hint="eastAsia" w:ascii="仿宋" w:hAnsi="仿宋" w:eastAsia="仿宋"/>
                <w:bCs/>
                <w:sz w:val="28"/>
                <w:szCs w:val="28"/>
                <w:highlight w:val="none"/>
                <w:lang w:val="en-US" w:eastAsia="zh-CN"/>
              </w:rPr>
              <w:t>15天</w:t>
            </w:r>
            <w:r>
              <w:rPr>
                <w:rFonts w:hint="eastAsia" w:ascii="仿宋" w:hAnsi="仿宋" w:eastAsia="仿宋"/>
                <w:bCs/>
                <w:sz w:val="28"/>
                <w:szCs w:val="28"/>
                <w:highlight w:val="none"/>
                <w:lang w:eastAsia="zh-CN"/>
              </w:rPr>
              <w:t>内</w:t>
            </w:r>
            <w:r>
              <w:rPr>
                <w:rFonts w:hint="eastAsia" w:ascii="仿宋" w:hAnsi="仿宋" w:eastAsia="仿宋"/>
                <w:bCs/>
                <w:sz w:val="28"/>
                <w:szCs w:val="28"/>
                <w:highlight w:val="none"/>
                <w:lang w:val="en-US" w:eastAsia="zh-CN"/>
              </w:rPr>
              <w:t>供货</w:t>
            </w:r>
            <w:r>
              <w:rPr>
                <w:rFonts w:hint="eastAsia" w:ascii="仿宋" w:hAnsi="仿宋" w:eastAsia="仿宋"/>
                <w:bCs/>
                <w:sz w:val="28"/>
                <w:szCs w:val="28"/>
                <w:highlight w:val="none"/>
                <w:lang w:eastAsia="zh-CN"/>
              </w:rPr>
              <w:t>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供应商自报最长</w:t>
            </w:r>
            <w:r>
              <w:rPr>
                <w:rFonts w:hint="eastAsia" w:ascii="仿宋" w:hAnsi="仿宋" w:eastAsia="仿宋"/>
                <w:bCs/>
                <w:sz w:val="28"/>
                <w:szCs w:val="28"/>
                <w:highlight w:val="none"/>
                <w:lang w:val="en-US" w:eastAsia="zh-CN"/>
              </w:rPr>
              <w:t>整体</w:t>
            </w:r>
            <w:r>
              <w:rPr>
                <w:rFonts w:hint="eastAsia" w:ascii="仿宋" w:hAnsi="仿宋" w:eastAsia="仿宋"/>
                <w:bCs/>
                <w:sz w:val="28"/>
                <w:szCs w:val="28"/>
                <w:highlight w:val="none"/>
                <w:lang w:eastAsia="zh-CN"/>
              </w:rPr>
              <w:t>质保期（最低为</w:t>
            </w:r>
            <w:r>
              <w:rPr>
                <w:rFonts w:hint="eastAsia" w:ascii="仿宋" w:hAnsi="仿宋" w:eastAsia="仿宋"/>
                <w:bCs/>
                <w:sz w:val="28"/>
                <w:szCs w:val="28"/>
                <w:highlight w:val="none"/>
                <w:lang w:val="en-US" w:eastAsia="zh-CN"/>
              </w:rPr>
              <w:t>两</w:t>
            </w:r>
            <w:r>
              <w:rPr>
                <w:rFonts w:hint="eastAsia" w:ascii="仿宋" w:hAnsi="仿宋" w:eastAsia="仿宋"/>
                <w:bCs/>
                <w:sz w:val="28"/>
                <w:szCs w:val="28"/>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供货完成验收合格且正常使用后付合同金额的80%，剩余部分于验收合格之日起满两年且无质量问题后付齐余款。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6、单位负责人为同一人或者存在直接控股、管理关系的不同供应商，不得参加同一合同</w:t>
            </w:r>
            <w:r>
              <w:rPr>
                <w:rFonts w:hint="eastAsia" w:ascii="仿宋" w:hAnsi="仿宋" w:eastAsia="仿宋" w:cs="宋体"/>
                <w:color w:val="000000"/>
                <w:kern w:val="0"/>
                <w:sz w:val="28"/>
                <w:szCs w:val="28"/>
                <w:highlight w:val="none"/>
                <w:lang w:eastAsia="zh-CN"/>
              </w:rPr>
              <w:t>项下的政府采购活动；</w:t>
            </w:r>
            <w:r>
              <w:rPr>
                <w:rFonts w:hint="eastAsia" w:ascii="仿宋" w:hAnsi="仿宋" w:eastAsia="仿宋" w:cs="宋体"/>
                <w:color w:val="000000"/>
                <w:kern w:val="0"/>
                <w:sz w:val="28"/>
                <w:szCs w:val="28"/>
                <w:highlight w:val="none"/>
              </w:rPr>
              <w:t>法律、行政法规规定的其他条件；</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lang w:eastAsia="zh-CN"/>
              </w:rPr>
            </w:pPr>
            <w:r>
              <w:rPr>
                <w:rFonts w:hint="eastAsia" w:ascii="仿宋" w:hAnsi="仿宋" w:eastAsia="仿宋" w:cs="宋体"/>
                <w:color w:val="000000"/>
                <w:kern w:val="0"/>
                <w:sz w:val="28"/>
                <w:szCs w:val="28"/>
                <w:highlight w:val="none"/>
              </w:rPr>
              <w:t>7、一个供应商只能提交一个响应文件。</w:t>
            </w:r>
            <w:r>
              <w:rPr>
                <w:rFonts w:hint="eastAsia" w:ascii="仿宋" w:hAnsi="仿宋" w:eastAsia="仿宋" w:cs="宋体"/>
                <w:color w:val="000000"/>
                <w:kern w:val="0"/>
                <w:sz w:val="28"/>
                <w:szCs w:val="28"/>
                <w:highlight w:val="none"/>
                <w:lang w:val="en-US" w:eastAsia="zh-CN"/>
              </w:rPr>
              <w:t>供应商应具有有效的营业执照。</w:t>
            </w:r>
          </w:p>
          <w:p>
            <w:pPr>
              <w:keepNext w:val="0"/>
              <w:keepLines w:val="0"/>
              <w:pageBreakBefore w:val="0"/>
              <w:kinsoku/>
              <w:wordWrap/>
              <w:overflowPunct/>
              <w:topLinePunct w:val="0"/>
              <w:bidi w:val="0"/>
              <w:spacing w:line="400" w:lineRule="exact"/>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highlight w:val="none"/>
              </w:rPr>
            </w:pPr>
            <w:r>
              <w:rPr>
                <w:rFonts w:hint="eastAsia" w:ascii="仿宋" w:hAnsi="仿宋" w:eastAsia="仿宋" w:cs="宋体"/>
                <w:color w:val="000000"/>
                <w:kern w:val="0"/>
                <w:sz w:val="28"/>
                <w:szCs w:val="28"/>
                <w:highlight w:val="none"/>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8" w:type="dxa"/>
            <w:vAlign w:val="center"/>
          </w:tcPr>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r>
              <w:rPr>
                <w:rFonts w:hint="eastAsia" w:ascii="仿宋" w:hAnsi="仿宋" w:eastAsia="仿宋"/>
                <w:bCs/>
                <w:sz w:val="28"/>
                <w:szCs w:val="28"/>
                <w:highlight w:val="none"/>
                <w:lang w:val="en-US" w:eastAsia="zh-CN"/>
              </w:rPr>
              <w:t xml:space="preserve">   </w:t>
            </w:r>
            <w:r>
              <w:rPr>
                <w:rFonts w:ascii="仿宋" w:hAnsi="仿宋" w:eastAsia="仿宋"/>
                <w:bCs/>
                <w:sz w:val="28"/>
                <w:szCs w:val="28"/>
                <w:highlight w:val="none"/>
              </w:rPr>
              <w:t>联合体</w:t>
            </w:r>
          </w:p>
        </w:tc>
        <w:tc>
          <w:tcPr>
            <w:tcW w:w="6701" w:type="dxa"/>
            <w:vAlign w:val="center"/>
          </w:tcPr>
          <w:p>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1" w:type="dxa"/>
            <w:vAlign w:val="center"/>
          </w:tcPr>
          <w:p>
            <w:pPr>
              <w:autoSpaceDE w:val="0"/>
              <w:autoSpaceDN w:val="0"/>
              <w:adjustRightInd w:val="0"/>
              <w:snapToGrid w:val="0"/>
              <w:spacing w:line="320" w:lineRule="exact"/>
              <w:jc w:val="left"/>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15万元</w:t>
            </w:r>
          </w:p>
          <w:p>
            <w:pPr>
              <w:pStyle w:val="11"/>
              <w:spacing w:line="400" w:lineRule="exac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仿宋"/>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1"/>
              <w:spacing w:line="400" w:lineRule="exact"/>
              <w:jc w:val="center"/>
              <w:rPr>
                <w:rFonts w:ascii="仿宋" w:hAnsi="仿宋" w:eastAsia="仿宋"/>
                <w:bCs/>
                <w:sz w:val="28"/>
                <w:szCs w:val="28"/>
                <w:highlight w:val="none"/>
              </w:rPr>
            </w:pPr>
          </w:p>
        </w:tc>
        <w:tc>
          <w:tcPr>
            <w:tcW w:w="6701" w:type="dxa"/>
            <w:vAlign w:val="center"/>
          </w:tcPr>
          <w:p>
            <w:pPr>
              <w:pStyle w:val="11"/>
              <w:spacing w:line="400" w:lineRule="exact"/>
              <w:ind w:firstLine="562" w:firstLineChars="200"/>
              <w:rPr>
                <w:rFonts w:ascii="仿宋" w:hAnsi="仿宋" w:eastAsia="仿宋"/>
                <w:b/>
                <w:bCs/>
                <w:sz w:val="28"/>
                <w:szCs w:val="28"/>
                <w:highlight w:val="none"/>
              </w:rPr>
            </w:pPr>
          </w:p>
        </w:tc>
      </w:tr>
    </w:tbl>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报价文件的法人或其他组织、自然人。</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1、具有独立承担民事责任的能力；</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2、具有良好的商业信誉和健全的财务会计制度；</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3、具有履行合同所必需的设备和专业技术能力；</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4、有依法缴纳税收和社会保障资金的良好记录；</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5、参加政府采购活动前三年内，在经营活动中没有重大违法记录。</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6、单位负责人为同一人或者存在直接控股、管理关系的不同供应商，不得参加同一合同项下的政府采购活动；法律、行政法规规定的其他条件；</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7、一个供应商只能提交一个响应文件。供应商应具有有效的营业执照。</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8、未被列入失信被执行人名单、重大税收违法案件当事人名单、政府采购严重违法失信行为记录名单，信用信息查询渠道：“信用中国”网站（www.creditchina.gov.cn）、中国政府采购网（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b/>
          <w:bCs/>
          <w:color w:val="FF0000"/>
          <w:sz w:val="28"/>
          <w:szCs w:val="28"/>
          <w:highlight w:val="none"/>
          <w:lang w:eastAsia="zh-CN"/>
        </w:rPr>
        <w:t>2025年</w:t>
      </w:r>
      <w:r>
        <w:rPr>
          <w:rFonts w:hint="eastAsia" w:ascii="仿宋" w:hAnsi="仿宋" w:eastAsia="仿宋" w:cs="宋体"/>
          <w:b/>
          <w:bCs/>
          <w:color w:val="FF0000"/>
          <w:sz w:val="28"/>
          <w:szCs w:val="28"/>
          <w:highlight w:val="none"/>
          <w:lang w:val="en-US" w:eastAsia="zh-CN"/>
        </w:rPr>
        <w:t>5</w:t>
      </w:r>
      <w:r>
        <w:rPr>
          <w:rFonts w:hint="eastAsia" w:ascii="仿宋" w:hAnsi="仿宋" w:eastAsia="仿宋" w:cs="宋体"/>
          <w:b/>
          <w:bCs/>
          <w:color w:val="FF0000"/>
          <w:sz w:val="28"/>
          <w:szCs w:val="28"/>
          <w:highlight w:val="none"/>
          <w:lang w:eastAsia="zh-CN"/>
        </w:rPr>
        <w:t>月</w:t>
      </w:r>
      <w:r>
        <w:rPr>
          <w:rFonts w:hint="eastAsia" w:ascii="仿宋" w:hAnsi="仿宋" w:eastAsia="仿宋" w:cs="宋体"/>
          <w:b/>
          <w:bCs/>
          <w:color w:val="FF0000"/>
          <w:sz w:val="28"/>
          <w:szCs w:val="28"/>
          <w:highlight w:val="none"/>
          <w:lang w:val="en-US" w:eastAsia="zh-CN"/>
        </w:rPr>
        <w:t>13</w:t>
      </w:r>
      <w:r>
        <w:rPr>
          <w:rFonts w:hint="eastAsia" w:ascii="仿宋" w:hAnsi="仿宋" w:eastAsia="仿宋" w:cs="宋体"/>
          <w:b/>
          <w:bCs/>
          <w:color w:val="FF0000"/>
          <w:sz w:val="28"/>
          <w:szCs w:val="28"/>
          <w:highlight w:val="none"/>
        </w:rPr>
        <w:t>日1</w:t>
      </w:r>
      <w:r>
        <w:rPr>
          <w:rFonts w:hint="eastAsia" w:ascii="仿宋" w:hAnsi="仿宋" w:eastAsia="仿宋" w:cs="宋体"/>
          <w:b/>
          <w:bCs/>
          <w:color w:val="FF0000"/>
          <w:sz w:val="28"/>
          <w:szCs w:val="28"/>
          <w:highlight w:val="none"/>
          <w:lang w:val="en-US" w:eastAsia="zh-CN"/>
        </w:rPr>
        <w:t>2:00</w:t>
      </w:r>
      <w:r>
        <w:rPr>
          <w:rFonts w:hint="eastAsia" w:ascii="仿宋" w:hAnsi="仿宋" w:eastAsia="仿宋" w:cs="宋体"/>
          <w:b/>
          <w:bCs/>
          <w:color w:val="FF0000"/>
          <w:sz w:val="28"/>
          <w:szCs w:val="28"/>
          <w:highlight w:val="none"/>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对采购文件进行必要的澄清或修改，澄清或修改的内容可能影响报价文件制作的，须在采购文件要求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（2）修改内容影响供应商编制报价文件的，采购单位应当在报价截止时间5日前以书面形式通知所有确定参与本次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四、报价文件的编写：</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2、除采购文件的技术规格中另有规定外，报价文件中所使用的计量单位应使用中华人民共和国法定计量单位。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（二）报价文件的组成：</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pPr>
        <w:widowControl/>
        <w:adjustRightInd w:val="0"/>
        <w:snapToGrid w:val="0"/>
        <w:spacing w:line="400" w:lineRule="exact"/>
        <w:ind w:firstLine="1120" w:firstLineChars="4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1120" w:firstLineChars="4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需要提供的其它相关资格证明文件。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pPr>
        <w:widowControl/>
        <w:adjustRightInd w:val="0"/>
        <w:snapToGrid w:val="0"/>
        <w:spacing w:line="400" w:lineRule="exact"/>
        <w:ind w:firstLine="1120" w:firstLineChars="4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widowControl/>
        <w:adjustRightInd w:val="0"/>
        <w:snapToGrid w:val="0"/>
        <w:spacing w:line="400" w:lineRule="exact"/>
        <w:ind w:firstLine="1405" w:firstLineChars="500"/>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widowControl/>
        <w:numPr>
          <w:ilvl w:val="0"/>
          <w:numId w:val="1"/>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货物配置偏离表；</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（三）报价文件编写方式：</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1、报价文件正本和副本用A4幅面的纸张打印。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（四）报价文件签署、盖章：</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供应商必须按采购文件的规定签署、盖章报价文件。</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（五）报价文件的密封和标记：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1、供应商应准备六份报价文件，一份正本和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份副本。在每一份报价文件上要注明“正本”或“副本”字样，一旦正本和副本不一致，以正本为准。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2、供应商应将报价文件密封，并在封面明显处注明以下内容：</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”单独密封，单独密封，与报价文件同时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（六）报价文件的递交：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1、递交报价文件的截止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FF0000"/>
          <w:kern w:val="0"/>
          <w:sz w:val="28"/>
          <w:szCs w:val="28"/>
          <w:highlight w:val="none"/>
          <w:lang w:eastAsia="zh-CN"/>
        </w:rPr>
        <w:t>2025年</w:t>
      </w:r>
      <w:r>
        <w:rPr>
          <w:rFonts w:hint="eastAsia" w:ascii="仿宋" w:hAnsi="仿宋" w:eastAsia="仿宋" w:cs="宋体"/>
          <w:b/>
          <w:bCs/>
          <w:color w:val="FF0000"/>
          <w:kern w:val="0"/>
          <w:sz w:val="28"/>
          <w:szCs w:val="28"/>
          <w:highlight w:val="none"/>
          <w:lang w:val="en-US" w:eastAsia="zh-CN"/>
        </w:rPr>
        <w:t>5</w:t>
      </w:r>
      <w:r>
        <w:rPr>
          <w:rFonts w:hint="eastAsia" w:ascii="仿宋" w:hAnsi="仿宋" w:eastAsia="仿宋" w:cs="宋体"/>
          <w:b/>
          <w:bCs/>
          <w:color w:val="FF0000"/>
          <w:kern w:val="0"/>
          <w:sz w:val="28"/>
          <w:szCs w:val="28"/>
          <w:highlight w:val="none"/>
          <w:lang w:eastAsia="zh-CN"/>
        </w:rPr>
        <w:t>月</w:t>
      </w:r>
      <w:r>
        <w:rPr>
          <w:rFonts w:hint="eastAsia" w:ascii="仿宋" w:hAnsi="仿宋" w:eastAsia="仿宋" w:cs="宋体"/>
          <w:b/>
          <w:bCs/>
          <w:color w:val="FF0000"/>
          <w:kern w:val="0"/>
          <w:sz w:val="28"/>
          <w:szCs w:val="28"/>
          <w:highlight w:val="none"/>
          <w:lang w:val="en-US" w:eastAsia="zh-CN"/>
        </w:rPr>
        <w:t>20</w:t>
      </w:r>
      <w:r>
        <w:rPr>
          <w:rFonts w:hint="eastAsia" w:ascii="仿宋" w:hAnsi="仿宋" w:eastAsia="仿宋" w:cs="宋体"/>
          <w:b/>
          <w:bCs/>
          <w:color w:val="FF0000"/>
          <w:kern w:val="0"/>
          <w:sz w:val="28"/>
          <w:szCs w:val="28"/>
          <w:highlight w:val="none"/>
          <w:lang w:eastAsia="zh-CN"/>
        </w:rPr>
        <w:t>日</w:t>
      </w:r>
      <w:r>
        <w:rPr>
          <w:rFonts w:hint="eastAsia" w:ascii="仿宋" w:hAnsi="仿宋" w:eastAsia="仿宋" w:cs="宋体"/>
          <w:b/>
          <w:bCs/>
          <w:color w:val="FF0000"/>
          <w:kern w:val="0"/>
          <w:sz w:val="28"/>
          <w:szCs w:val="28"/>
          <w:highlight w:val="none"/>
          <w:lang w:val="en-US" w:eastAsia="zh-CN"/>
        </w:rPr>
        <w:t>14</w:t>
      </w:r>
      <w:r>
        <w:rPr>
          <w:rFonts w:hint="eastAsia" w:ascii="仿宋" w:hAnsi="仿宋" w:eastAsia="仿宋" w:cs="宋体"/>
          <w:b/>
          <w:bCs/>
          <w:color w:val="FF0000"/>
          <w:kern w:val="0"/>
          <w:sz w:val="28"/>
          <w:szCs w:val="28"/>
          <w:highlight w:val="none"/>
          <w:lang w:eastAsia="zh-CN"/>
        </w:rPr>
        <w:t>时</w:t>
      </w:r>
      <w:r>
        <w:rPr>
          <w:rFonts w:hint="eastAsia" w:ascii="仿宋" w:hAnsi="仿宋" w:eastAsia="仿宋" w:cs="宋体"/>
          <w:b/>
          <w:bCs/>
          <w:color w:val="FF0000"/>
          <w:kern w:val="0"/>
          <w:sz w:val="28"/>
          <w:szCs w:val="28"/>
          <w:highlight w:val="none"/>
          <w:lang w:val="en-US" w:eastAsia="zh-CN"/>
        </w:rPr>
        <w:t>30</w:t>
      </w:r>
      <w:r>
        <w:rPr>
          <w:rFonts w:hint="eastAsia" w:ascii="仿宋" w:hAnsi="仿宋" w:eastAsia="仿宋" w:cs="宋体"/>
          <w:b/>
          <w:bCs/>
          <w:color w:val="FF0000"/>
          <w:kern w:val="0"/>
          <w:sz w:val="28"/>
          <w:szCs w:val="28"/>
          <w:highlight w:val="none"/>
          <w:lang w:eastAsia="zh-CN"/>
        </w:rPr>
        <w:t>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2、报价文件递交地点：</w:t>
      </w:r>
      <w:r>
        <w:rPr>
          <w:rFonts w:hint="eastAsia" w:ascii="仿宋" w:hAnsi="仿宋" w:eastAsia="仿宋" w:cs="宋体"/>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3、电报、电话、传真、电子邮件方式的报价文件概不接受；</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4、供应商的报价文件不予退还</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5、逾期送达的或者未送达指定地点或者未按要求进行密封的报价文件，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如因采购文件的修改推迟递交报价文件的截止日期的，则按采购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（七）报价文件签收：以供应商填报签到表为准。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（八）报价文件修改与撤回：</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3、报价有效期内不得撤回所递交的报价文件。</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2300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由成交</w:t>
      </w:r>
      <w:r>
        <w:rPr>
          <w:rFonts w:hint="eastAsia" w:ascii="仿宋" w:hAnsi="仿宋" w:eastAsia="仿宋" w:cs="宋体"/>
          <w:sz w:val="28"/>
          <w:szCs w:val="28"/>
          <w:highlight w:val="none"/>
        </w:rPr>
        <w:t>供应商支付。</w:t>
      </w:r>
    </w:p>
    <w:p>
      <w:pPr>
        <w:widowControl/>
        <w:adjustRightInd w:val="0"/>
        <w:snapToGrid w:val="0"/>
        <w:spacing w:line="400" w:lineRule="exact"/>
        <w:ind w:firstLine="560" w:firstLineChars="200"/>
        <w:rPr>
          <w:rFonts w:hint="eastAsia" w:ascii="仿宋" w:hAnsi="仿宋" w:eastAsia="仿宋" w:cs="Times New Roman"/>
          <w:b/>
          <w:bCs/>
          <w:sz w:val="32"/>
          <w:szCs w:val="32"/>
          <w:highlight w:val="none"/>
        </w:rPr>
      </w:pPr>
      <w:r>
        <w:rPr>
          <w:rFonts w:hint="eastAsia" w:ascii="仿宋" w:hAnsi="仿宋" w:eastAsia="仿宋" w:cs="宋体"/>
          <w:sz w:val="28"/>
          <w:szCs w:val="28"/>
          <w:highlight w:val="none"/>
        </w:rPr>
        <w:t>2、各供应商自行承担所有参与投标的有关费用。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0" w:firstLineChars="200"/>
        <w:textAlignment w:val="auto"/>
        <w:rPr>
          <w:rFonts w:hint="default"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b/>
          <w:bCs w:val="0"/>
          <w:color w:val="auto"/>
          <w:sz w:val="28"/>
          <w:szCs w:val="28"/>
          <w:highlight w:val="none"/>
          <w:lang w:val="en-US" w:eastAsia="zh-CN"/>
        </w:rPr>
        <w:t>采</w:t>
      </w:r>
      <w:r>
        <w:rPr>
          <w:rFonts w:hint="eastAsia" w:ascii="仿宋" w:hAnsi="仿宋" w:eastAsia="仿宋"/>
          <w:b/>
          <w:bCs/>
          <w:color w:val="auto"/>
          <w:sz w:val="28"/>
          <w:szCs w:val="28"/>
          <w:highlight w:val="none"/>
          <w:lang w:val="en-US" w:eastAsia="zh-CN"/>
        </w:rPr>
        <w:t>购控制价：15万元</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p>
      <w:pPr>
        <w:pStyle w:val="11"/>
        <w:keepNext w:val="0"/>
        <w:keepLines w:val="0"/>
        <w:pageBreakBefore w:val="0"/>
        <w:kinsoku/>
        <w:wordWrap/>
        <w:overflowPunct/>
        <w:topLinePunct w:val="0"/>
        <w:bidi w:val="0"/>
        <w:spacing w:line="400" w:lineRule="exact"/>
        <w:ind w:firstLine="720" w:firstLineChars="300"/>
        <w:textAlignment w:val="auto"/>
        <w:rPr>
          <w:rFonts w:ascii="仿宋" w:hAnsi="仿宋" w:eastAsia="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7</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四、报价文件的编写：</w:t>
      </w: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页）第二部分 供应商须知供应商须知前附表</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9</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14</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15</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16</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b/>
          <w:bCs/>
          <w:color w:val="FF0000"/>
          <w:kern w:val="0"/>
          <w:sz w:val="28"/>
          <w:szCs w:val="28"/>
          <w:highlight w:val="none"/>
          <w:lang w:eastAsia="zh-CN"/>
        </w:rPr>
        <w:t>2025年</w:t>
      </w:r>
      <w:r>
        <w:rPr>
          <w:rFonts w:hint="eastAsia" w:ascii="仿宋" w:hAnsi="仿宋" w:eastAsia="仿宋" w:cs="宋体"/>
          <w:b/>
          <w:bCs/>
          <w:color w:val="FF0000"/>
          <w:kern w:val="0"/>
          <w:sz w:val="28"/>
          <w:szCs w:val="28"/>
          <w:highlight w:val="none"/>
          <w:lang w:val="en-US" w:eastAsia="zh-CN"/>
        </w:rPr>
        <w:t>5</w:t>
      </w:r>
      <w:r>
        <w:rPr>
          <w:rFonts w:hint="eastAsia" w:ascii="仿宋" w:hAnsi="仿宋" w:eastAsia="仿宋" w:cs="宋体"/>
          <w:b/>
          <w:bCs/>
          <w:color w:val="FF0000"/>
          <w:kern w:val="0"/>
          <w:sz w:val="28"/>
          <w:szCs w:val="28"/>
          <w:highlight w:val="none"/>
          <w:lang w:eastAsia="zh-CN"/>
        </w:rPr>
        <w:t>月</w:t>
      </w:r>
      <w:r>
        <w:rPr>
          <w:rFonts w:hint="eastAsia" w:ascii="仿宋" w:hAnsi="仿宋" w:eastAsia="仿宋" w:cs="宋体"/>
          <w:b/>
          <w:bCs/>
          <w:color w:val="FF0000"/>
          <w:kern w:val="0"/>
          <w:sz w:val="28"/>
          <w:szCs w:val="28"/>
          <w:highlight w:val="none"/>
          <w:lang w:val="en-US" w:eastAsia="zh-CN"/>
        </w:rPr>
        <w:t>20</w:t>
      </w:r>
      <w:r>
        <w:rPr>
          <w:rFonts w:hint="eastAsia" w:ascii="仿宋" w:hAnsi="仿宋" w:eastAsia="仿宋" w:cs="宋体"/>
          <w:b/>
          <w:bCs/>
          <w:color w:val="FF0000"/>
          <w:kern w:val="0"/>
          <w:sz w:val="28"/>
          <w:szCs w:val="28"/>
          <w:highlight w:val="none"/>
          <w:lang w:eastAsia="zh-CN"/>
        </w:rPr>
        <w:t>日</w:t>
      </w:r>
      <w:r>
        <w:rPr>
          <w:rFonts w:hint="eastAsia" w:ascii="仿宋" w:hAnsi="仿宋" w:eastAsia="仿宋" w:cs="宋体"/>
          <w:b/>
          <w:bCs/>
          <w:color w:val="FF0000"/>
          <w:kern w:val="0"/>
          <w:sz w:val="28"/>
          <w:szCs w:val="28"/>
          <w:highlight w:val="none"/>
          <w:lang w:val="en-US" w:eastAsia="zh-CN"/>
        </w:rPr>
        <w:t>14</w:t>
      </w:r>
      <w:r>
        <w:rPr>
          <w:rFonts w:hint="eastAsia" w:ascii="仿宋" w:hAnsi="仿宋" w:eastAsia="仿宋" w:cs="宋体"/>
          <w:b/>
          <w:bCs/>
          <w:color w:val="FF0000"/>
          <w:kern w:val="0"/>
          <w:sz w:val="28"/>
          <w:szCs w:val="28"/>
          <w:highlight w:val="none"/>
          <w:lang w:eastAsia="zh-CN"/>
        </w:rPr>
        <w:t>时</w:t>
      </w:r>
      <w:r>
        <w:rPr>
          <w:rFonts w:hint="eastAsia" w:ascii="仿宋" w:hAnsi="仿宋" w:eastAsia="仿宋" w:cs="宋体"/>
          <w:b/>
          <w:bCs/>
          <w:color w:val="FF0000"/>
          <w:kern w:val="0"/>
          <w:sz w:val="28"/>
          <w:szCs w:val="28"/>
          <w:highlight w:val="none"/>
          <w:lang w:val="en-US" w:eastAsia="zh-CN"/>
        </w:rPr>
        <w:t>30</w:t>
      </w:r>
      <w:r>
        <w:rPr>
          <w:rFonts w:hint="eastAsia" w:ascii="仿宋" w:hAnsi="仿宋" w:eastAsia="仿宋" w:cs="宋体"/>
          <w:b/>
          <w:bCs/>
          <w:color w:val="FF0000"/>
          <w:kern w:val="0"/>
          <w:sz w:val="28"/>
          <w:szCs w:val="28"/>
          <w:highlight w:val="none"/>
          <w:lang w:eastAsia="zh-CN"/>
        </w:rPr>
        <w:t>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3、检查报价文件密封情况：公开报价时，由报价供应商或其推选的代表检查报价文件的密封情况，经确认无误后，由工作人员当众拆封。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4、报价：由工作人员对各供应商的报价文件当众拆封，并宣读“报价一览表”，记录员将报价内容分项记录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，由采购人代表和有关方面的专家等三人以上（含三人）的单数组成，其中专家不得少于成员总数的三分之二，磋商小组负责对报价文件进行评审，评选出成交候选人。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2、统一性原则：磋商小组将按照统一的原则和方法，对各供应商的报价文件进行评审；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（4）磋商小组将拒绝被确定为非实质性响应的报价文件，供应商不能通过修正或撤销报价文件中的不符之处而使其报价成为实质性响应的报价。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1"/>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9"/>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内容</w:t>
            </w:r>
          </w:p>
        </w:tc>
        <w:tc>
          <w:tcPr>
            <w:tcW w:w="1130"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分值</w:t>
            </w:r>
          </w:p>
        </w:tc>
        <w:tc>
          <w:tcPr>
            <w:tcW w:w="7307"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报价</w:t>
            </w:r>
          </w:p>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部分</w:t>
            </w:r>
          </w:p>
        </w:tc>
        <w:tc>
          <w:tcPr>
            <w:tcW w:w="1130"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30</w:t>
            </w:r>
            <w:r>
              <w:rPr>
                <w:rStyle w:val="21"/>
                <w:rFonts w:hint="eastAsia" w:ascii="仿宋" w:hAnsi="仿宋" w:eastAsia="仿宋" w:cs="仿宋"/>
                <w:b w:val="0"/>
                <w:color w:val="000000" w:themeColor="text1"/>
                <w:kern w:val="0"/>
                <w:sz w:val="28"/>
                <w:szCs w:val="28"/>
                <w:highlight w:val="none"/>
                <w14:textFill>
                  <w14:solidFill>
                    <w14:schemeClr w14:val="tx1"/>
                  </w14:solidFill>
                </w14:textFill>
              </w:rPr>
              <w:t>分</w:t>
            </w:r>
          </w:p>
        </w:tc>
        <w:tc>
          <w:tcPr>
            <w:tcW w:w="7307"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满足磋商文件要求且最后报价最低的供应商的价格为磋商基准价，其价格分为满分。其他供应商的价格分统一按照下列公式计算：</w:t>
            </w:r>
          </w:p>
          <w:p>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14:textFill>
                  <w14:solidFill>
                    <w14:schemeClr w14:val="tx1"/>
                  </w14:solidFill>
                </w14:textFill>
              </w:rPr>
              <w:t>磋商报价得分=(磋商基准价/最后磋商报价)×</w:t>
            </w: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30</w:t>
            </w:r>
            <w:r>
              <w:rPr>
                <w:rStyle w:val="21"/>
                <w:rFonts w:hint="eastAsia" w:ascii="仿宋" w:hAnsi="仿宋" w:eastAsia="仿宋" w:cs="仿宋"/>
                <w:b w:val="0"/>
                <w:color w:val="000000" w:themeColor="text1"/>
                <w:kern w:val="0"/>
                <w:sz w:val="28"/>
                <w:szCs w:val="28"/>
                <w:highlight w:val="none"/>
                <w14:textFill>
                  <w14:solidFill>
                    <w14:schemeClr w14:val="tx1"/>
                  </w14:solidFill>
                </w14:textFill>
              </w:rPr>
              <w:t xml:space="preserve">%×100；小数点后保留两位，四舍五入。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536"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技术</w:t>
            </w:r>
          </w:p>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部分</w:t>
            </w:r>
          </w:p>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1130"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67分</w:t>
            </w:r>
          </w:p>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73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根据所报产品的综合性能进行综合打分，完全符合采购文件要求，部分内容优于采购文件要求的得15分，每存在一处不足或不合理的扣1分，扣完为止，缺项不得分。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113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73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针对本项目供货实施方案（包括货物运输、装卸等技术保证措施）进行综合打分，具有详细、完善和可行的方案和措施的得15分；每存在一处不详细、不完善、不合理或不足的扣1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53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113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73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针对本项目安装实施方案（包括货物安装、排列的主要技术保证措施、备品备件库充足等）进行综合打分，具有详细、完善和可行的方案和措施的得15分；每存在一处不详细、不完善、不合理或不足的扣1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113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73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的响应时间，响应程度、解决问题的能力、紧急故障处理预案等内容进行综合评分，具有详细、完善和具体的响应方案的得12分，每存在一处不详细、不完善、不具体或不足的扣1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1130" w:type="dxa"/>
            <w:vMerge w:val="continue"/>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default" w:ascii="仿宋" w:hAnsi="仿宋" w:eastAsia="仿宋" w:cs="仿宋"/>
                <w:b w:val="0"/>
                <w:color w:val="000000" w:themeColor="text1"/>
                <w:kern w:val="0"/>
                <w:sz w:val="28"/>
                <w:szCs w:val="28"/>
                <w:highlight w:val="none"/>
                <w:lang w:val="en-US" w:eastAsia="zh-CN"/>
                <w14:textFill>
                  <w14:solidFill>
                    <w14:schemeClr w14:val="tx1"/>
                  </w14:solidFill>
                </w14:textFill>
              </w:rPr>
            </w:pPr>
          </w:p>
        </w:tc>
        <w:tc>
          <w:tcPr>
            <w:tcW w:w="73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根据供应商提供的售后服务方案进行综合评审，服务方案可行，人员安排合理及保障措施完善的得10分，每存在一处不足或不合理的扣1分，缺项不得分。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质保期</w:t>
            </w:r>
          </w:p>
        </w:tc>
        <w:tc>
          <w:tcPr>
            <w:tcW w:w="1130"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1分</w:t>
            </w:r>
          </w:p>
        </w:tc>
        <w:tc>
          <w:tcPr>
            <w:tcW w:w="7307" w:type="dxa"/>
            <w:vAlign w:val="center"/>
          </w:tcPr>
          <w:p>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color w:val="000000" w:themeColor="text1"/>
                <w:kern w:val="0"/>
                <w:sz w:val="28"/>
                <w:szCs w:val="28"/>
                <w:highlight w:val="none"/>
                <w:lang w:val="en-US" w:eastAsia="zh-CN" w:bidi="ar-SA"/>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根据供应商所报设备的质保期优于磋商采购文件要求的，每增加一年得1分，本项最多得1分；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优惠</w:t>
            </w:r>
          </w:p>
          <w:p>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条款 </w:t>
            </w:r>
          </w:p>
        </w:tc>
        <w:tc>
          <w:tcPr>
            <w:tcW w:w="1130" w:type="dxa"/>
            <w:vAlign w:val="center"/>
          </w:tcPr>
          <w:p>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分</w:t>
            </w:r>
          </w:p>
        </w:tc>
        <w:tc>
          <w:tcPr>
            <w:tcW w:w="7307"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根据供应商</w:t>
            </w:r>
            <w:r>
              <w:rPr>
                <w:rFonts w:hint="eastAsia" w:ascii="仿宋" w:hAnsi="仿宋" w:eastAsia="仿宋" w:cs="仿宋"/>
                <w:color w:val="000000" w:themeColor="text1"/>
                <w:sz w:val="28"/>
                <w:szCs w:val="28"/>
                <w:highlight w:val="none"/>
                <w:lang w:eastAsia="zh-CN"/>
                <w14:textFill>
                  <w14:solidFill>
                    <w14:schemeClr w14:val="tx1"/>
                  </w14:solidFill>
                </w14:textFill>
              </w:rPr>
              <w:t>提供的优惠条件符合采购项目需求、具有可操作性和实用性，并经</w:t>
            </w:r>
            <w:r>
              <w:rPr>
                <w:rFonts w:hint="eastAsia" w:ascii="仿宋" w:hAnsi="仿宋" w:eastAsia="仿宋" w:cs="仿宋"/>
                <w:color w:val="000000" w:themeColor="text1"/>
                <w:sz w:val="28"/>
                <w:szCs w:val="28"/>
                <w:highlight w:val="none"/>
                <w:lang w:val="en-US" w:eastAsia="zh-CN"/>
                <w14:textFill>
                  <w14:solidFill>
                    <w14:schemeClr w14:val="tx1"/>
                  </w14:solidFill>
                </w14:textFill>
              </w:rPr>
              <w:t>评委</w:t>
            </w:r>
            <w:r>
              <w:rPr>
                <w:rFonts w:hint="eastAsia" w:ascii="仿宋" w:hAnsi="仿宋" w:eastAsia="仿宋" w:cs="仿宋"/>
                <w:color w:val="000000" w:themeColor="text1"/>
                <w:sz w:val="28"/>
                <w:szCs w:val="28"/>
                <w:highlight w:val="none"/>
                <w:lang w:eastAsia="zh-CN"/>
                <w14:textFill>
                  <w14:solidFill>
                    <w14:schemeClr w14:val="tx1"/>
                  </w14:solidFill>
                </w14:textFill>
              </w:rPr>
              <w:t>认可的每有一条得</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分，</w:t>
            </w:r>
            <w:r>
              <w:rPr>
                <w:rStyle w:val="21"/>
                <w:rFonts w:hint="eastAsia" w:ascii="仿宋" w:hAnsi="仿宋" w:eastAsia="仿宋" w:cs="仿宋"/>
                <w:b w:val="0"/>
                <w:color w:val="000000" w:themeColor="text1"/>
                <w:kern w:val="0"/>
                <w:sz w:val="28"/>
                <w:szCs w:val="28"/>
                <w:highlight w:val="none"/>
                <w:lang w:val="en-US" w:eastAsia="zh-CN"/>
                <w14:textFill>
                  <w14:solidFill>
                    <w14:schemeClr w14:val="tx1"/>
                  </w14:solidFill>
                </w14:textFill>
              </w:rPr>
              <w:t>本项</w:t>
            </w:r>
            <w:r>
              <w:rPr>
                <w:rFonts w:hint="eastAsia" w:ascii="仿宋" w:hAnsi="仿宋" w:eastAsia="仿宋" w:cs="仿宋"/>
                <w:color w:val="000000" w:themeColor="text1"/>
                <w:sz w:val="28"/>
                <w:szCs w:val="28"/>
                <w:highlight w:val="none"/>
                <w:lang w:eastAsia="zh-CN"/>
                <w14:textFill>
                  <w14:solidFill>
                    <w14:schemeClr w14:val="tx1"/>
                  </w14:solidFill>
                </w14:textFill>
              </w:rPr>
              <w:t>最多得</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分。</w:t>
            </w:r>
          </w:p>
        </w:tc>
      </w:tr>
    </w:tbl>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、采购文件、成交供应商的报价文件以及评审过程中的有关澄清、承诺文件均为合同的组成部分。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3、政府采购合同的双方当事人不得擅自变更、中止或者终止合同。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政府采购合同继续履行将损害国家利益和社会公共利益的，双方当事人应当变更、中止或者终止合同。有过错的一方应当承担赔偿责任，双方都有过错的，各自承担相应的责任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1"/>
        <w:spacing w:line="400" w:lineRule="exact"/>
        <w:ind w:firstLine="560" w:firstLineChars="200"/>
        <w:rPr>
          <w:rStyle w:val="21"/>
          <w:rFonts w:ascii="仿宋" w:hAnsi="仿宋" w:eastAsia="仿宋" w:cs="宋体"/>
          <w:b w:val="0"/>
          <w:kern w:val="0"/>
          <w:sz w:val="28"/>
          <w:highlight w:val="none"/>
        </w:rPr>
      </w:pP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项目说明及要求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一、项目说明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本项目为“交钥匙”项目，投标报价包括但不限于设备、人员、服务、主件、标准附件、备品备件、包装、运输、装卸、安装、安装须增加的材料费、调试、检验、安全、保险、培训、验收、技术及售后服务、税金等其他费用完全达到采购文件要求并通过验收合格保证能正常使用所需的一切费用。供应商报价遗漏的任何费用，供应商应自行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新院区搬迁后，为规范存放及高效管理纸质病案，约可安装14列档案柜(每列6组)，合计84组。具体实际安装数量，以医院要求和现场实际情况为准。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二、技术参数</w:t>
      </w:r>
    </w:p>
    <w:tbl>
      <w:tblPr>
        <w:tblStyle w:val="18"/>
        <w:tblW w:w="9747" w:type="dxa"/>
        <w:tblInd w:w="15" w:type="dxa"/>
        <w:tblLayout w:type="fixed"/>
        <w:tblCellMar>
          <w:top w:w="15" w:type="dxa"/>
          <w:left w:w="15" w:type="dxa"/>
          <w:bottom w:w="15" w:type="dxa"/>
          <w:right w:w="15" w:type="dxa"/>
        </w:tblCellMar>
      </w:tblPr>
      <w:tblGrid>
        <w:gridCol w:w="592"/>
        <w:gridCol w:w="1266"/>
        <w:gridCol w:w="2252"/>
        <w:gridCol w:w="3238"/>
        <w:gridCol w:w="2399"/>
      </w:tblGrid>
      <w:tr>
        <w:tblPrEx>
          <w:tblCellMar>
            <w:top w:w="15" w:type="dxa"/>
            <w:left w:w="15" w:type="dxa"/>
            <w:bottom w:w="15" w:type="dxa"/>
            <w:right w:w="15" w:type="dxa"/>
          </w:tblCellMar>
        </w:tblPrEx>
        <w:trPr>
          <w:trHeight w:val="390"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设备名称</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设备配置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材料规格</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采用标准</w:t>
            </w: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轨道</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地轨板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1.8mm优质钢材</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GB710-88安钢</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轨道</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20*20mm（实心方钢）</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GB699-88安钢</w:t>
            </w:r>
          </w:p>
        </w:tc>
      </w:tr>
      <w:tr>
        <w:tblPrEx>
          <w:tblCellMar>
            <w:top w:w="15" w:type="dxa"/>
            <w:left w:w="15" w:type="dxa"/>
            <w:bottom w:w="15" w:type="dxa"/>
            <w:right w:w="15" w:type="dxa"/>
          </w:tblCellMar>
        </w:tblPrEx>
        <w:trPr>
          <w:trHeight w:val="390"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底盘</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地梁、轴档、夹紧</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2.3mm优质钢材</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GB710-88安钢</w:t>
            </w: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架体</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中立架</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1.1mm优质钢材</w:t>
            </w:r>
          </w:p>
        </w:tc>
        <w:tc>
          <w:tcPr>
            <w:tcW w:w="2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GB710-88邯钢</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隔板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0.8mm优质钢材</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挂板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0.8mm优质钢材</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门面采用2字拉手</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门框</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0.7mm优质钢材</w:t>
            </w:r>
          </w:p>
        </w:tc>
        <w:tc>
          <w:tcPr>
            <w:tcW w:w="2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GB710-88邯钢</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门板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0.7mm优质钢材</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定位模块</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ABC注塑件</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工程塑料</w:t>
            </w:r>
          </w:p>
        </w:tc>
      </w:tr>
      <w:tr>
        <w:tblPrEx>
          <w:tblCellMar>
            <w:top w:w="15" w:type="dxa"/>
            <w:left w:w="15" w:type="dxa"/>
            <w:bottom w:w="15" w:type="dxa"/>
            <w:right w:w="15" w:type="dxa"/>
          </w:tblCellMar>
        </w:tblPrEx>
        <w:trPr>
          <w:trHeight w:val="390"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侧护板</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豪华双色型</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kern w:val="0"/>
                <w:sz w:val="28"/>
                <w:szCs w:val="28"/>
                <w:highlight w:val="none"/>
              </w:rPr>
              <w:t>0.7mm优质钢材</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GB710-88邯钢</w:t>
            </w: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传动机构</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轴承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HR204E级球面调心</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GB1285-85洛轴</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转动轴</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Ф22实心45#圆钢</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GB699-88</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链接钢管</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内Ф20mm圆钢管，45#钢</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GB699-88</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钢滚轮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45号钢锻打钢轮</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GB9439-88</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链轮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ZG45精致滚轮</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GB1135-89</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摩托车链条</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Ф8.5节距12.7FR428</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GB1244-85</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摇把</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进口塑钢</w:t>
            </w:r>
          </w:p>
        </w:tc>
        <w:tc>
          <w:tcPr>
            <w:tcW w:w="2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ZG45双向超越</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离合器结构</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GB1285-85</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摇手体总成</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滚珠轴承</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制造</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边列锁定</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9790锁</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装置</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装置（门锁）</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9790锁</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w:t>
            </w:r>
          </w:p>
        </w:tc>
      </w:tr>
      <w:tr>
        <w:tblPrEx>
          <w:tblCellMar>
            <w:top w:w="15" w:type="dxa"/>
            <w:left w:w="15" w:type="dxa"/>
            <w:bottom w:w="15" w:type="dxa"/>
            <w:right w:w="15" w:type="dxa"/>
          </w:tblCellMar>
        </w:tblPrEx>
        <w:trPr>
          <w:trHeight w:val="36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中列制动装置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制动开关</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防护装置</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防震防尘装置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20mm</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冰箱门吸条</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顶板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0.8mm优质钢材</w:t>
            </w:r>
          </w:p>
        </w:tc>
        <w:tc>
          <w:tcPr>
            <w:tcW w:w="23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GB710-88</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防尘板、防鼠板</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1.0mm优质钢材</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3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防倾倒装置</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w:t>
            </w:r>
            <w:r>
              <w:rPr>
                <w:rFonts w:hint="eastAsia" w:ascii="仿宋" w:hAnsi="仿宋" w:eastAsia="仿宋" w:cs="仿宋"/>
                <w:color w:val="000000"/>
                <w:kern w:val="0"/>
                <w:sz w:val="28"/>
                <w:szCs w:val="28"/>
                <w:highlight w:val="none"/>
              </w:rPr>
              <w:t>3.0mm</w:t>
            </w:r>
          </w:p>
        </w:tc>
        <w:tc>
          <w:tcPr>
            <w:tcW w:w="23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8"/>
                <w:szCs w:val="28"/>
                <w:highlight w:val="none"/>
              </w:rPr>
            </w:pPr>
          </w:p>
        </w:tc>
      </w:tr>
      <w:tr>
        <w:tblPrEx>
          <w:tblCellMar>
            <w:top w:w="15" w:type="dxa"/>
            <w:left w:w="15" w:type="dxa"/>
            <w:bottom w:w="15" w:type="dxa"/>
            <w:right w:w="15" w:type="dxa"/>
          </w:tblCellMar>
        </w:tblPrEx>
        <w:trPr>
          <w:trHeight w:val="390" w:hRule="atLeast"/>
        </w:trPr>
        <w:tc>
          <w:tcPr>
            <w:tcW w:w="59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表面处理</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前处理药剂</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Zn系磷化</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标准</w:t>
            </w:r>
          </w:p>
        </w:tc>
      </w:tr>
      <w:tr>
        <w:tblPrEx>
          <w:tblCellMar>
            <w:top w:w="15" w:type="dxa"/>
            <w:left w:w="15" w:type="dxa"/>
            <w:bottom w:w="15" w:type="dxa"/>
            <w:right w:w="15" w:type="dxa"/>
          </w:tblCellMar>
        </w:tblPrEx>
        <w:trPr>
          <w:trHeight w:val="39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高压静电喷塑</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环氧聚酯型粉末</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HVE-P</w:t>
            </w:r>
          </w:p>
        </w:tc>
      </w:tr>
      <w:tr>
        <w:tblPrEx>
          <w:tblCellMar>
            <w:top w:w="15" w:type="dxa"/>
            <w:left w:w="15" w:type="dxa"/>
            <w:bottom w:w="15" w:type="dxa"/>
            <w:right w:w="15" w:type="dxa"/>
          </w:tblCellMar>
        </w:tblPrEx>
        <w:trPr>
          <w:trHeight w:val="330" w:hRule="atLeast"/>
        </w:trPr>
        <w:tc>
          <w:tcPr>
            <w:tcW w:w="5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kern w:val="0"/>
                <w:sz w:val="28"/>
                <w:szCs w:val="28"/>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喷枪</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p>
        </w:tc>
      </w:tr>
      <w:tr>
        <w:tblPrEx>
          <w:tblCellMar>
            <w:top w:w="15" w:type="dxa"/>
            <w:left w:w="15" w:type="dxa"/>
            <w:bottom w:w="15" w:type="dxa"/>
            <w:right w:w="15" w:type="dxa"/>
          </w:tblCellMar>
        </w:tblPrEx>
        <w:trPr>
          <w:trHeight w:val="307"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紧固件</w:t>
            </w:r>
          </w:p>
        </w:tc>
        <w:tc>
          <w:tcPr>
            <w:tcW w:w="788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45#、Q235-A钢标准化零件</w:t>
            </w:r>
          </w:p>
        </w:tc>
      </w:tr>
    </w:tbl>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1、按照 DA/T7-92、《手动密集架技术条件》GB/T13667.3-2013 技术要求制作。</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2、密集架主要由底座、架体、传动装置、防护装置等组成。</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3、密集架所用钢板均系优质钢板，钢板材质最低要求：轨道采用 2.0mm 热轧钢板，底盘采用2.0mm 热轧钢板，立柱采用1.2mm 冷轧钢板，顶板和门板采用1.0mm冷轧钢板、防倾倒装置采用2.0mm 热轧钢板、防鼠板和防尘板采用 0.6mm冷轧钢板、其余采用厚度不小于 1.0mm 冷轧钢板。</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4、密集架表面采用静电喷塑工艺，表面处理采用乳化剂和碱性助洗脱脂、磷酸除锈、粉末金属喷涂，表面无颗粒感，表面涂层牢固。</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5、单层单面搁板承重≥40kg，满负荷24 小时后屈挠度≤2mm，卸载后自动恢复，没有裂纹及永久变形。</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280" w:firstLineChars="100"/>
        <w:textAlignment w:val="auto"/>
        <w:rPr>
          <w:rFonts w:hint="eastAsia" w:ascii="仿宋" w:hAnsi="仿宋" w:eastAsia="仿宋" w:cs="Times New Roman"/>
          <w:b/>
          <w:sz w:val="28"/>
          <w:highlight w:val="none"/>
          <w:lang w:val="en-US" w:eastAsia="zh-CN"/>
        </w:rPr>
      </w:pPr>
      <w:r>
        <w:rPr>
          <w:rFonts w:hint="eastAsia" w:ascii="仿宋" w:hAnsi="仿宋" w:eastAsia="仿宋" w:cs="Times New Roman"/>
          <w:sz w:val="28"/>
          <w:highlight w:val="none"/>
          <w:lang w:val="en-US" w:eastAsia="zh-CN"/>
        </w:rPr>
        <w:t xml:space="preserve">6、采用轨道运行方式，轨道采用埋入式。轨道座采用 2.0mm 热轧钢板、路轨采用20*200mm实心方钢。表面静电喷塑,喷塑前严格去油除锈和磷化处理。 </w:t>
      </w:r>
      <w:r>
        <w:rPr>
          <w:rFonts w:hint="eastAsia" w:ascii="仿宋" w:hAnsi="仿宋" w:eastAsia="仿宋" w:cs="Times New Roman"/>
          <w:b/>
          <w:sz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76519831"/>
      <w:bookmarkStart w:id="3" w:name="_Toc390245307"/>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pPr>
        <w:pStyle w:val="7"/>
        <w:keepNext w:val="0"/>
        <w:keepLines w:val="0"/>
        <w:pageBreakBefore w:val="0"/>
        <w:widowControl w:val="0"/>
        <w:kinsoku/>
        <w:wordWrap/>
        <w:overflowPunct/>
        <w:topLinePunct w:val="0"/>
        <w:autoSpaceDE/>
        <w:autoSpaceDN/>
        <w:bidi w:val="0"/>
        <w:adjustRightInd/>
        <w:snapToGrid/>
        <w:spacing w:after="0" w:line="380" w:lineRule="exact"/>
        <w:ind w:right="0" w:firstLine="562" w:firstLineChars="200"/>
        <w:textAlignment w:val="auto"/>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1、供应商应保证货物是全新、未使用过的合格产品。供应商提供的产品生产日期应不早于验收合格之日100天前，否则，采购人拒绝接收，供应商应立即更换符合要求的产品。如因此导致采购人损失的，供应商须承担全部赔偿责任。</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2、</w:t>
      </w:r>
      <w:r>
        <w:rPr>
          <w:rFonts w:hint="eastAsia" w:ascii="仿宋" w:hAnsi="仿宋" w:eastAsia="仿宋"/>
          <w:sz w:val="28"/>
          <w:highlight w:val="none"/>
        </w:rPr>
        <w:t>货物的设计、生产制造、包装、运输等过程均应符合相关国家现行标准；无国家标准时执行行业标准；无行业标准时执行企业标准；以上标准均无时，</w:t>
      </w:r>
      <w:r>
        <w:rPr>
          <w:rFonts w:hint="eastAsia" w:ascii="仿宋" w:hAnsi="仿宋" w:eastAsia="仿宋"/>
          <w:sz w:val="28"/>
          <w:highlight w:val="none"/>
          <w:lang w:eastAsia="zh-CN"/>
        </w:rPr>
        <w:t>供应商</w:t>
      </w:r>
      <w:r>
        <w:rPr>
          <w:rFonts w:hint="eastAsia" w:ascii="仿宋" w:hAnsi="仿宋" w:eastAsia="仿宋"/>
          <w:sz w:val="28"/>
          <w:highlight w:val="none"/>
        </w:rPr>
        <w:t>应采取必要的措施以保证货物符合采购文件的规定，以满足采购人使用。</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3</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供货时须提供有关货物的合格证明材料、详细技术资料和检测报告等。</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须保证，采购人在中华人民共和国境内使用货物、资料、技术、服务或其任何一部分时，享有不受限制的无偿使用权，不会产生因第三方提出侵犯其专利权、商标权或其它知识产权而引起的法律或经济纠纷。如</w:t>
      </w:r>
      <w:r>
        <w:rPr>
          <w:rFonts w:hint="eastAsia" w:ascii="仿宋" w:hAnsi="仿宋" w:eastAsia="仿宋"/>
          <w:sz w:val="28"/>
          <w:highlight w:val="none"/>
          <w:lang w:eastAsia="zh-CN"/>
        </w:rPr>
        <w:t>供应商</w:t>
      </w:r>
      <w:r>
        <w:rPr>
          <w:rFonts w:hint="eastAsia" w:ascii="仿宋" w:hAnsi="仿宋" w:eastAsia="仿宋"/>
          <w:sz w:val="28"/>
          <w:highlight w:val="none"/>
        </w:rPr>
        <w:t>不拥有相应的知识产权，则在投标报价中必须包括合法获取该知识产权的一切相关费用。如因此导致采购人损失的，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5</w:t>
      </w:r>
      <w:r>
        <w:rPr>
          <w:rFonts w:ascii="仿宋" w:hAnsi="仿宋" w:eastAsia="仿宋"/>
          <w:sz w:val="28"/>
          <w:highlight w:val="none"/>
        </w:rPr>
        <w:t>、</w:t>
      </w:r>
      <w:r>
        <w:rPr>
          <w:rFonts w:hint="eastAsia" w:ascii="仿宋" w:hAnsi="仿宋" w:eastAsia="仿宋"/>
          <w:sz w:val="28"/>
          <w:highlight w:val="none"/>
        </w:rPr>
        <w:t>质保期：设备到货经验收、安装调试正常运行后计算质保期。在设备保修期内如设备损坏时，中标人应迅速派员及时解决，同时承担商品配件及人员的所有费用，由于中标人的原因拖延时间而造成采购人损失的，所有损失由中标人赔偿。</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6、质量保证期内，如果证实货物是有缺陷的，包括潜在的缺陷或者使用不符合要求的材料等，中标人应立即更换， 采购人可自行采取必要的补救措施，但风险和费用由中标人承担，采购人同时保留通过法律途径进行索赔的权利。</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2" w:firstLineChars="200"/>
        <w:textAlignment w:val="auto"/>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四、</w:t>
      </w:r>
      <w:r>
        <w:rPr>
          <w:rFonts w:hint="eastAsia" w:ascii="仿宋" w:hAnsi="仿宋" w:eastAsia="仿宋" w:cs="Times New Roman"/>
          <w:b/>
          <w:sz w:val="28"/>
          <w:highlight w:val="none"/>
          <w:lang w:val="en-US" w:eastAsia="zh-CN"/>
        </w:rPr>
        <w:t>其他要求：</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1、质量标准：执行磋商采购文件相关规定和国家现行有关标准、规范、规定及行业认同的货物本身的规格、技术条件。</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2、验收：采购人会同相关部门和供应商按照相关程序进行验收，对验收不合格部分供应商要及时更换，损失由供应商负责。</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 xml:space="preserve">3、在包装与运输时，均应按国家现行标准进行，以便于收货时验收。不得出现标示不清或混装现象，供应商在货物装卸、运输中发生损坏或短缺后，要5日内予以调换和补充缺件，否则，供应商应承担采购人因此而带来的一切损失。   </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4、成交供应商须在签订合同前与采购人进行对接，确定具体供货事宜。</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5、本项目说明规定的各项技术规格若涉及到品牌、型号等，并不表明该标的被指定，均为参照品牌或“相当于”，仅供供应商做技术性参考。</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pPr>
        <w:pStyle w:val="35"/>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Style w:val="21"/>
          <w:rFonts w:hint="eastAsia" w:ascii="仿宋" w:hAnsi="仿宋" w:eastAsia="仿宋" w:cs="宋体"/>
          <w:b w:val="0"/>
          <w:bCs w:val="0"/>
          <w:kern w:val="0"/>
          <w:sz w:val="28"/>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r>
        <w:rPr>
          <w:rFonts w:hint="eastAsia" w:ascii="仿宋" w:hAnsi="仿宋" w:eastAsia="仿宋"/>
          <w:b/>
          <w:bCs/>
          <w:sz w:val="44"/>
          <w:szCs w:val="44"/>
          <w:highlight w:val="none"/>
          <w:lang w:eastAsia="zh-CN"/>
        </w:rPr>
        <w:t>微山县人民医院新院区病案存放专用柜采购项目</w:t>
      </w:r>
    </w:p>
    <w:p>
      <w:pPr>
        <w:keepNext w:val="0"/>
        <w:keepLines w:val="0"/>
        <w:pageBreakBefore w:val="0"/>
        <w:widowControl/>
        <w:kinsoku/>
        <w:wordWrap/>
        <w:overflowPunct/>
        <w:topLinePunct w:val="0"/>
        <w:autoSpaceDE/>
        <w:autoSpaceDN/>
        <w:bidi w:val="0"/>
        <w:adjustRightInd/>
        <w:snapToGrid/>
        <w:spacing w:before="1249" w:beforeLines="4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pPr>
        <w:pStyle w:val="11"/>
        <w:rPr>
          <w:rFonts w:hint="eastAsia" w:ascii="仿宋" w:hAnsi="仿宋" w:eastAsia="仿宋" w:cs="宋体"/>
          <w:b/>
          <w:bCs/>
          <w:kern w:val="0"/>
          <w:sz w:val="44"/>
          <w:szCs w:val="44"/>
          <w:highlight w:val="none"/>
          <w:u w:val="single"/>
          <w:lang w:val="en-US" w:eastAsia="zh-CN"/>
        </w:rPr>
      </w:pPr>
    </w:p>
    <w:p>
      <w:pPr>
        <w:ind w:firstLine="2249" w:firstLineChars="700"/>
        <w:rPr>
          <w:rFonts w:hint="eastAsia" w:ascii="仿宋" w:hAnsi="仿宋" w:eastAsia="仿宋" w:cs="仿宋"/>
          <w:b/>
          <w:color w:val="000000"/>
          <w:sz w:val="32"/>
          <w:szCs w:val="32"/>
          <w:u w:val="single"/>
        </w:rPr>
      </w:pPr>
      <w:r>
        <w:rPr>
          <w:rFonts w:hint="eastAsia" w:ascii="仿宋" w:hAnsi="仿宋" w:eastAsia="仿宋" w:cs="仿宋"/>
          <w:b/>
          <w:color w:val="000000"/>
          <w:sz w:val="32"/>
          <w:szCs w:val="32"/>
          <w:u w:val="none"/>
        </w:rPr>
        <w:t>甲</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方:</w:t>
      </w:r>
      <w:r>
        <w:rPr>
          <w:rFonts w:hint="eastAsia" w:ascii="仿宋" w:hAnsi="仿宋" w:eastAsia="仿宋" w:cs="仿宋"/>
          <w:b/>
          <w:color w:val="000000"/>
          <w:sz w:val="32"/>
          <w:szCs w:val="32"/>
          <w:u w:val="single"/>
        </w:rPr>
        <w:t>微山县人民医院</w:t>
      </w:r>
    </w:p>
    <w:p>
      <w:pPr>
        <w:spacing w:before="312" w:beforeLines="100"/>
        <w:ind w:firstLine="2249" w:firstLineChars="700"/>
        <w:rPr>
          <w:rFonts w:hint="default" w:ascii="仿宋" w:hAnsi="仿宋" w:eastAsia="仿宋" w:cs="仿宋"/>
          <w:b/>
          <w:color w:val="000000"/>
          <w:sz w:val="32"/>
          <w:szCs w:val="32"/>
          <w:u w:val="single"/>
          <w:lang w:val="en-US" w:eastAsia="zh-CN"/>
        </w:rPr>
      </w:pPr>
      <w:r>
        <w:rPr>
          <w:rFonts w:hint="eastAsia" w:ascii="仿宋" w:hAnsi="仿宋" w:eastAsia="仿宋" w:cs="仿宋"/>
          <w:b/>
          <w:color w:val="000000"/>
          <w:sz w:val="32"/>
          <w:szCs w:val="32"/>
          <w:u w:val="none"/>
        </w:rPr>
        <w:t>乙</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方:</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single"/>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000000"/>
          <w:sz w:val="32"/>
          <w:szCs w:val="32"/>
          <w:u w:val="none"/>
        </w:rPr>
        <w:sectPr>
          <w:footerReference r:id="rId3" w:type="default"/>
          <w:pgSz w:w="11906" w:h="16838"/>
          <w:pgMar w:top="1134" w:right="1134" w:bottom="850" w:left="1134" w:header="851" w:footer="992" w:gutter="0"/>
          <w:pgNumType w:fmt="decimal" w:start="1"/>
          <w:cols w:space="425" w:num="1"/>
          <w:docGrid w:type="lines" w:linePitch="312" w:charSpace="0"/>
        </w:sectPr>
      </w:pPr>
      <w:r>
        <w:rPr>
          <w:rFonts w:hint="eastAsia" w:ascii="仿宋" w:hAnsi="仿宋" w:eastAsia="仿宋" w:cs="仿宋"/>
          <w:b/>
          <w:color w:val="000000"/>
          <w:sz w:val="32"/>
          <w:szCs w:val="32"/>
          <w:u w:val="none"/>
        </w:rPr>
        <w:t>日  期:</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年</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none"/>
        </w:rPr>
        <w:t>月</w:t>
      </w:r>
      <w:r>
        <w:rPr>
          <w:rFonts w:hint="eastAsia" w:ascii="仿宋" w:hAnsi="仿宋" w:eastAsia="仿宋" w:cs="仿宋"/>
          <w:b/>
          <w:color w:val="000000"/>
          <w:sz w:val="32"/>
          <w:szCs w:val="32"/>
          <w:u w:val="non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1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478"/>
        <w:gridCol w:w="2414"/>
        <w:gridCol w:w="1251"/>
        <w:gridCol w:w="673"/>
        <w:gridCol w:w="827"/>
        <w:gridCol w:w="828"/>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47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414"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251"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7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82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47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414"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251"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7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47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414"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251"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7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7"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 xml:space="preserve">）招标文件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ascii="仿宋" w:hAnsi="仿宋" w:eastAsia="仿宋"/>
          <w:b/>
          <w:bCs/>
          <w:sz w:val="28"/>
          <w:szCs w:val="28"/>
          <w:highlight w:val="none"/>
        </w:rPr>
        <w:t>总</w:t>
      </w:r>
      <w:r>
        <w:rPr>
          <w:rFonts w:hint="eastAsia" w:ascii="仿宋" w:hAnsi="仿宋" w:eastAsia="仿宋"/>
          <w:b/>
          <w:bCs/>
          <w:sz w:val="28"/>
          <w:szCs w:val="28"/>
          <w:highlight w:val="none"/>
        </w:rPr>
        <w:t>价</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ascii="仿宋" w:hAnsi="仿宋" w:eastAsia="仿宋"/>
          <w:b/>
          <w:bCs/>
          <w:sz w:val="28"/>
          <w:szCs w:val="28"/>
          <w:highlight w:val="none"/>
        </w:rPr>
      </w:pPr>
      <w:r>
        <w:rPr>
          <w:rStyle w:val="21"/>
          <w:rFonts w:hint="eastAsia" w:ascii="仿宋" w:hAnsi="仿宋" w:eastAsia="仿宋" w:cs="宋体"/>
          <w:b/>
          <w:bCs w:val="0"/>
          <w:kern w:val="0"/>
          <w:sz w:val="28"/>
          <w:szCs w:val="28"/>
          <w:highlight w:val="none"/>
        </w:rPr>
        <w:t>本项目为“交钥匙”项目，</w:t>
      </w:r>
      <w:r>
        <w:rPr>
          <w:rStyle w:val="21"/>
          <w:rFonts w:hint="eastAsia" w:ascii="仿宋" w:hAnsi="仿宋" w:eastAsia="仿宋" w:cs="宋体"/>
          <w:b/>
          <w:bCs w:val="0"/>
          <w:kern w:val="0"/>
          <w:sz w:val="28"/>
          <w:szCs w:val="28"/>
          <w:highlight w:val="none"/>
          <w:lang w:val="en-US" w:eastAsia="zh-CN"/>
        </w:rPr>
        <w:t>合同总价</w:t>
      </w:r>
      <w:r>
        <w:rPr>
          <w:rStyle w:val="21"/>
          <w:rFonts w:hint="eastAsia" w:ascii="仿宋" w:hAnsi="仿宋" w:eastAsia="仿宋" w:cs="宋体"/>
          <w:b/>
          <w:bCs w:val="0"/>
          <w:kern w:val="0"/>
          <w:sz w:val="28"/>
          <w:szCs w:val="28"/>
          <w:highlight w:val="none"/>
        </w:rPr>
        <w:t>包括但不限于设备、人员、服务、主件、标准附件、备品备件、包装、运输、装卸、安装、安装须增加的材料费、调试、检验、安全、保险、培训、</w:t>
      </w:r>
      <w:r>
        <w:rPr>
          <w:rStyle w:val="21"/>
          <w:rFonts w:hint="eastAsia" w:ascii="仿宋" w:hAnsi="仿宋" w:eastAsia="仿宋" w:cs="宋体"/>
          <w:b/>
          <w:bCs w:val="0"/>
          <w:kern w:val="0"/>
          <w:sz w:val="28"/>
          <w:szCs w:val="28"/>
          <w:highlight w:val="none"/>
          <w:lang w:val="en-US" w:eastAsia="zh-CN"/>
        </w:rPr>
        <w:t>验收、</w:t>
      </w:r>
      <w:r>
        <w:rPr>
          <w:rStyle w:val="21"/>
          <w:rFonts w:hint="eastAsia" w:ascii="仿宋" w:hAnsi="仿宋" w:eastAsia="仿宋" w:cs="宋体"/>
          <w:b/>
          <w:bCs w:val="0"/>
          <w:kern w:val="0"/>
          <w:sz w:val="28"/>
          <w:szCs w:val="28"/>
          <w:highlight w:val="none"/>
        </w:rPr>
        <w:t>技术及售后服务、税金等其他费用完全达到采购文件要求并通过验收合格保证能正常使用所需的一切费用。供应商报价遗漏的任何费用，供应商应自行承担。</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color w:val="000000"/>
          <w:sz w:val="28"/>
          <w:szCs w:val="28"/>
          <w:highlight w:val="none"/>
        </w:rPr>
        <w:t xml:space="preserve">4、付款方式： </w:t>
      </w:r>
      <w:r>
        <w:rPr>
          <w:rFonts w:hint="eastAsia" w:ascii="仿宋" w:hAnsi="仿宋" w:eastAsia="仿宋"/>
          <w:bCs/>
          <w:sz w:val="28"/>
          <w:szCs w:val="28"/>
          <w:highlight w:val="none"/>
          <w:lang w:val="en-US" w:eastAsia="zh-CN"/>
        </w:rPr>
        <w:t>供货完成验收合格且正常使用后付合同金额的80%，剩余部分于验收合格之日起满两年且无质量问题后付齐余款。</w:t>
      </w:r>
      <w:r>
        <w:rPr>
          <w:rFonts w:hint="eastAsia" w:ascii="仿宋" w:hAnsi="仿宋" w:eastAsia="仿宋"/>
          <w:sz w:val="28"/>
          <w:szCs w:val="28"/>
          <w:highlight w:val="non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u w:val="single"/>
          <w:lang w:val="en-US" w:eastAsia="zh-CN" w:bidi="ar"/>
        </w:rPr>
      </w:pPr>
      <w:r>
        <w:rPr>
          <w:rFonts w:hint="eastAsia" w:ascii="仿宋" w:hAnsi="仿宋" w:eastAsia="仿宋" w:cs="仿宋"/>
          <w:color w:val="auto"/>
          <w:kern w:val="2"/>
          <w:sz w:val="28"/>
          <w:szCs w:val="28"/>
          <w:highlight w:val="none"/>
          <w:lang w:val="en-US" w:eastAsia="zh-CN" w:bidi="ar"/>
        </w:rPr>
        <w:t>乙方帐号信息如下：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开户银行：</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账    号：</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highlight w:val="none"/>
        </w:rPr>
      </w:pPr>
      <w:r>
        <w:rPr>
          <w:rFonts w:hint="eastAsia" w:ascii="仿宋" w:hAnsi="仿宋" w:eastAsia="仿宋" w:cs="仿宋"/>
          <w:color w:val="auto"/>
          <w:kern w:val="2"/>
          <w:sz w:val="28"/>
          <w:szCs w:val="28"/>
          <w:highlight w:val="none"/>
          <w:lang w:val="en-US" w:eastAsia="zh-CN" w:bidi="ar"/>
        </w:rPr>
        <w:t>开户名称：</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color w:val="000000"/>
          <w:sz w:val="28"/>
          <w:szCs w:val="28"/>
          <w:highlight w:val="none"/>
          <w:lang w:eastAsia="zh-CN"/>
        </w:rPr>
      </w:pPr>
      <w:r>
        <w:rPr>
          <w:rFonts w:ascii="仿宋" w:hAnsi="仿宋" w:eastAsia="仿宋"/>
          <w:sz w:val="28"/>
          <w:szCs w:val="28"/>
          <w:highlight w:val="none"/>
        </w:rPr>
        <w:t xml:space="preserve">  </w:t>
      </w:r>
      <w:r>
        <w:rPr>
          <w:rFonts w:ascii="仿宋" w:hAnsi="仿宋" w:eastAsia="仿宋"/>
          <w:b/>
          <w:bCs/>
          <w:color w:val="000000"/>
          <w:sz w:val="28"/>
          <w:szCs w:val="28"/>
          <w:highlight w:val="none"/>
        </w:rPr>
        <w:t xml:space="preserve"> 质保期：</w:t>
      </w:r>
      <w:r>
        <w:rPr>
          <w:rFonts w:hint="eastAsia" w:ascii="仿宋" w:hAnsi="仿宋" w:eastAsia="仿宋"/>
          <w:b w:val="0"/>
          <w:bCs w:val="0"/>
          <w:color w:val="000000"/>
          <w:sz w:val="28"/>
          <w:szCs w:val="28"/>
          <w:highlight w:val="none"/>
          <w:u w:val="none"/>
        </w:rPr>
        <w:t xml:space="preserve"> </w:t>
      </w:r>
      <w:r>
        <w:rPr>
          <w:rFonts w:ascii="仿宋" w:hAnsi="仿宋" w:eastAsia="仿宋"/>
          <w:b w:val="0"/>
          <w:bCs w:val="0"/>
          <w:color w:val="000000"/>
          <w:sz w:val="28"/>
          <w:szCs w:val="28"/>
          <w:highlight w:val="none"/>
          <w:u w:val="none"/>
        </w:rPr>
        <w:t xml:space="preserve">    </w:t>
      </w:r>
      <w:r>
        <w:rPr>
          <w:rFonts w:hint="eastAsia" w:ascii="仿宋" w:hAnsi="仿宋" w:eastAsia="仿宋"/>
          <w:b w:val="0"/>
          <w:bCs w:val="0"/>
          <w:color w:val="000000"/>
          <w:sz w:val="28"/>
          <w:szCs w:val="28"/>
          <w:highlight w:val="none"/>
          <w:u w:val="none"/>
          <w:lang w:val="en-US" w:eastAsia="zh-CN"/>
        </w:rPr>
        <w:t>年。</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Times New Roman"/>
          <w:kern w:val="2"/>
          <w:sz w:val="28"/>
          <w:szCs w:val="28"/>
          <w:highlight w:val="none"/>
          <w:lang w:val="en-US" w:eastAsia="zh-CN" w:bidi="ar-SA"/>
        </w:rPr>
      </w:pPr>
      <w:r>
        <w:rPr>
          <w:rFonts w:hint="eastAsia"/>
          <w:highlight w:val="none"/>
          <w:lang w:val="en-US" w:eastAsia="zh-CN"/>
        </w:rPr>
        <w:t xml:space="preserve">    </w:t>
      </w:r>
      <w:r>
        <w:rPr>
          <w:rFonts w:hint="eastAsia" w:ascii="仿宋" w:hAnsi="仿宋" w:eastAsia="仿宋" w:cs="Times New Roman"/>
          <w:b/>
          <w:bCs/>
          <w:kern w:val="2"/>
          <w:sz w:val="28"/>
          <w:szCs w:val="28"/>
          <w:highlight w:val="none"/>
          <w:lang w:val="en-US" w:eastAsia="zh-CN" w:bidi="ar-SA"/>
        </w:rPr>
        <w:t>乙方提供的产品生产日期应不早于验收合格之日 100天前，否则，甲方拒绝接收，乙方应立即更换符合要求的产品。如因此导致甲方损失的，乙方须承担全部赔偿责任。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6、合同的生效</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rPr>
        <w:t>7、合同变更</w:t>
      </w:r>
      <w:r>
        <w:rPr>
          <w:rFonts w:hint="eastAsia" w:ascii="仿宋" w:hAnsi="仿宋" w:eastAsia="仿宋"/>
          <w:sz w:val="28"/>
          <w:szCs w:val="28"/>
          <w:highlight w:val="none"/>
          <w:lang w:eastAsia="zh-CN"/>
        </w:rPr>
        <w:t>：</w:t>
      </w:r>
      <w:r>
        <w:rPr>
          <w:rFonts w:ascii="仿宋" w:hAnsi="仿宋" w:eastAsia="仿宋"/>
          <w:sz w:val="28"/>
          <w:szCs w:val="28"/>
          <w:highlight w:val="none"/>
        </w:rPr>
        <w:t>采购合同的双方当事人不得擅自变更、中止或者终止合同。</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 xml:space="preserve">    采购合同继续履行将损害国家利益和社会公共利益的，双方当事人应当变更、中止或者终止合同。有过错的一方应当承担赔偿责任，双方都有过错的，各自承担相应的责任。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8、延期供货</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政府购买货物费用中扣除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金。乙方</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甲方可直接</w:t>
      </w:r>
      <w:r>
        <w:rPr>
          <w:rFonts w:ascii="仿宋" w:hAnsi="仿宋" w:eastAsia="仿宋"/>
          <w:color w:val="000000"/>
          <w:sz w:val="28"/>
          <w:szCs w:val="28"/>
          <w:highlight w:val="none"/>
        </w:rPr>
        <w:t>从</w:t>
      </w:r>
      <w:r>
        <w:rPr>
          <w:rFonts w:hint="eastAsia" w:ascii="仿宋" w:hAnsi="仿宋" w:eastAsia="仿宋"/>
          <w:color w:val="000000"/>
          <w:sz w:val="28"/>
          <w:szCs w:val="28"/>
          <w:highlight w:val="none"/>
        </w:rPr>
        <w:t>履</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保</w:t>
      </w:r>
      <w:r>
        <w:rPr>
          <w:rFonts w:ascii="仿宋" w:hAnsi="仿宋" w:eastAsia="仿宋"/>
          <w:color w:val="000000"/>
          <w:sz w:val="28"/>
          <w:szCs w:val="28"/>
          <w:highlight w:val="none"/>
        </w:rPr>
        <w:t>证金</w:t>
      </w:r>
      <w:r>
        <w:rPr>
          <w:rFonts w:hint="eastAsia" w:ascii="仿宋" w:hAnsi="仿宋" w:eastAsia="仿宋"/>
          <w:color w:val="000000"/>
          <w:sz w:val="28"/>
          <w:szCs w:val="28"/>
          <w:highlight w:val="none"/>
        </w:rPr>
        <w:t>中扣除，不足部分乙方必</w:t>
      </w:r>
      <w:r>
        <w:rPr>
          <w:rFonts w:ascii="仿宋" w:hAnsi="仿宋" w:eastAsia="仿宋"/>
          <w:color w:val="000000"/>
          <w:sz w:val="28"/>
          <w:szCs w:val="28"/>
          <w:highlight w:val="none"/>
        </w:rPr>
        <w:t>须在</w:t>
      </w:r>
      <w:r>
        <w:rPr>
          <w:rFonts w:hint="eastAsia" w:ascii="仿宋" w:hAnsi="仿宋" w:eastAsia="仿宋"/>
          <w:color w:val="000000"/>
          <w:sz w:val="28"/>
          <w:szCs w:val="28"/>
          <w:highlight w:val="none"/>
        </w:rPr>
        <w:t>十五日</w:t>
      </w:r>
      <w:r>
        <w:rPr>
          <w:rFonts w:ascii="仿宋" w:hAnsi="仿宋" w:eastAsia="仿宋"/>
          <w:color w:val="000000"/>
          <w:sz w:val="28"/>
          <w:szCs w:val="28"/>
          <w:highlight w:val="none"/>
        </w:rPr>
        <w:t>内补齐。</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r>
        <w:rPr>
          <w:rFonts w:hint="eastAsia" w:ascii="仿宋" w:hAnsi="仿宋" w:eastAsia="仿宋"/>
          <w:color w:val="000000"/>
          <w:sz w:val="28"/>
          <w:szCs w:val="28"/>
          <w:highlight w:val="none"/>
        </w:rPr>
        <w:t xml:space="preserve"> </w:t>
      </w:r>
      <w:r>
        <w:rPr>
          <w:rFonts w:hint="eastAsia" w:ascii="仿宋" w:hAnsi="仿宋" w:eastAsia="仿宋"/>
          <w:b/>
          <w:color w:val="000000"/>
          <w:sz w:val="28"/>
          <w:szCs w:val="28"/>
          <w:highlight w:val="none"/>
        </w:rPr>
        <w:t xml:space="preserve">   </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）乙方未能履行合同</w:t>
      </w:r>
      <w:r>
        <w:rPr>
          <w:rFonts w:ascii="仿宋" w:hAnsi="仿宋" w:eastAsia="仿宋"/>
          <w:sz w:val="28"/>
          <w:szCs w:val="28"/>
          <w:highlight w:val="none"/>
        </w:rPr>
        <w:t>规</w:t>
      </w:r>
      <w:r>
        <w:rPr>
          <w:rFonts w:hint="eastAsia" w:ascii="仿宋" w:hAnsi="仿宋" w:eastAsia="仿宋"/>
          <w:sz w:val="28"/>
          <w:szCs w:val="28"/>
          <w:highlight w:val="none"/>
        </w:rPr>
        <w:t>定的其它</w:t>
      </w:r>
      <w:r>
        <w:rPr>
          <w:rFonts w:ascii="仿宋" w:hAnsi="仿宋" w:eastAsia="仿宋"/>
          <w:sz w:val="28"/>
          <w:szCs w:val="28"/>
          <w:highlight w:val="none"/>
        </w:rPr>
        <w:t>义务</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合同的全部或部分。</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）未</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书</w:t>
      </w:r>
      <w:r>
        <w:rPr>
          <w:rFonts w:hint="eastAsia" w:ascii="仿宋" w:hAnsi="仿宋" w:eastAsia="仿宋"/>
          <w:sz w:val="28"/>
          <w:szCs w:val="28"/>
          <w:highlight w:val="none"/>
        </w:rPr>
        <w:t>面同意，乙方私自</w:t>
      </w:r>
      <w:r>
        <w:rPr>
          <w:rFonts w:ascii="仿宋" w:hAnsi="仿宋" w:eastAsia="仿宋"/>
          <w:sz w:val="28"/>
          <w:szCs w:val="28"/>
          <w:highlight w:val="none"/>
        </w:rPr>
        <w:t>转让</w:t>
      </w:r>
      <w:r>
        <w:rPr>
          <w:rFonts w:hint="eastAsia" w:ascii="仿宋" w:hAnsi="仿宋" w:eastAsia="仿宋"/>
          <w:sz w:val="28"/>
          <w:szCs w:val="28"/>
          <w:highlight w:val="none"/>
        </w:rPr>
        <w:t>或分包其</w:t>
      </w:r>
      <w:r>
        <w:rPr>
          <w:rFonts w:ascii="仿宋" w:hAnsi="仿宋" w:eastAsia="仿宋"/>
          <w:sz w:val="28"/>
          <w:szCs w:val="28"/>
          <w:highlight w:val="none"/>
        </w:rPr>
        <w:t>应</w:t>
      </w:r>
      <w:r>
        <w:rPr>
          <w:rFonts w:hint="eastAsia" w:ascii="仿宋" w:hAnsi="仿宋" w:eastAsia="仿宋"/>
          <w:sz w:val="28"/>
          <w:szCs w:val="28"/>
          <w:highlight w:val="none"/>
        </w:rPr>
        <w:t>履行的合同</w:t>
      </w:r>
      <w:r>
        <w:rPr>
          <w:rFonts w:ascii="仿宋" w:hAnsi="仿宋" w:eastAsia="仿宋"/>
          <w:sz w:val="28"/>
          <w:szCs w:val="28"/>
          <w:highlight w:val="none"/>
        </w:rPr>
        <w:t>义务</w:t>
      </w:r>
      <w:r>
        <w:rPr>
          <w:rFonts w:hint="eastAsia"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3、合同的修改</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采购合同的双方当事人,不得擅自变更、中止或终止合同。</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4、合同的生效</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本合同</w:t>
      </w:r>
      <w:r>
        <w:rPr>
          <w:rFonts w:ascii="仿宋" w:hAnsi="仿宋" w:eastAsia="仿宋"/>
          <w:sz w:val="28"/>
          <w:szCs w:val="28"/>
          <w:highlight w:val="none"/>
        </w:rPr>
        <w:t>双方</w:t>
      </w:r>
      <w:r>
        <w:rPr>
          <w:rFonts w:hint="eastAsia" w:ascii="仿宋" w:hAnsi="仿宋" w:eastAsia="仿宋"/>
          <w:sz w:val="28"/>
          <w:szCs w:val="28"/>
          <w:highlight w:val="none"/>
        </w:rPr>
        <w:t>授</w:t>
      </w:r>
      <w:r>
        <w:rPr>
          <w:rFonts w:ascii="仿宋" w:hAnsi="仿宋" w:eastAsia="仿宋"/>
          <w:sz w:val="28"/>
          <w:szCs w:val="28"/>
          <w:highlight w:val="none"/>
        </w:rPr>
        <w:t>权</w:t>
      </w:r>
      <w:r>
        <w:rPr>
          <w:rFonts w:hint="eastAsia" w:ascii="仿宋" w:hAnsi="仿宋" w:eastAsia="仿宋"/>
          <w:sz w:val="28"/>
          <w:szCs w:val="28"/>
          <w:highlight w:val="none"/>
        </w:rPr>
        <w:t>代表</w:t>
      </w:r>
      <w:r>
        <w:rPr>
          <w:rFonts w:ascii="仿宋" w:hAnsi="仿宋" w:eastAsia="仿宋"/>
          <w:sz w:val="28"/>
          <w:szCs w:val="28"/>
          <w:highlight w:val="none"/>
        </w:rPr>
        <w:t>签</w:t>
      </w:r>
      <w:r>
        <w:rPr>
          <w:rFonts w:hint="eastAsia" w:ascii="仿宋" w:hAnsi="仿宋" w:eastAsia="仿宋"/>
          <w:sz w:val="28"/>
          <w:szCs w:val="28"/>
          <w:highlight w:val="none"/>
        </w:rPr>
        <w:t>署，甲</w:t>
      </w:r>
      <w:r>
        <w:rPr>
          <w:rFonts w:ascii="仿宋" w:hAnsi="仿宋" w:eastAsia="仿宋"/>
          <w:sz w:val="28"/>
          <w:szCs w:val="28"/>
          <w:highlight w:val="none"/>
        </w:rPr>
        <w:t>乙双方</w:t>
      </w:r>
      <w:r>
        <w:rPr>
          <w:rFonts w:hint="eastAsia" w:ascii="仿宋" w:hAnsi="仿宋" w:eastAsia="仿宋"/>
          <w:sz w:val="28"/>
          <w:szCs w:val="28"/>
          <w:highlight w:val="none"/>
        </w:rPr>
        <w:t>加</w:t>
      </w:r>
      <w:r>
        <w:rPr>
          <w:rFonts w:ascii="仿宋" w:hAnsi="仿宋" w:eastAsia="仿宋"/>
          <w:sz w:val="28"/>
          <w:szCs w:val="28"/>
          <w:highlight w:val="none"/>
        </w:rPr>
        <w:t>盖</w:t>
      </w:r>
      <w:r>
        <w:rPr>
          <w:rFonts w:hint="eastAsia" w:ascii="仿宋" w:hAnsi="仿宋" w:eastAsia="仿宋"/>
          <w:sz w:val="28"/>
          <w:szCs w:val="28"/>
          <w:highlight w:val="none"/>
        </w:rPr>
        <w:t>印章后生效。本合同共</w:t>
      </w:r>
      <w:r>
        <w:rPr>
          <w:rFonts w:hint="eastAsia" w:ascii="仿宋" w:hAnsi="仿宋" w:eastAsia="仿宋"/>
          <w:sz w:val="28"/>
          <w:szCs w:val="28"/>
          <w:highlight w:val="none"/>
          <w:lang w:val="en-US" w:eastAsia="zh-CN"/>
        </w:rPr>
        <w:t>陆</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壹</w:t>
      </w:r>
      <w:r>
        <w:rPr>
          <w:rFonts w:hint="eastAsia" w:ascii="仿宋" w:hAnsi="仿宋" w:eastAsia="仿宋"/>
          <w:sz w:val="28"/>
          <w:szCs w:val="28"/>
          <w:highlight w:val="none"/>
        </w:rPr>
        <w:t>份。</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盖</w:t>
      </w:r>
      <w:r>
        <w:rPr>
          <w:rFonts w:hint="eastAsia" w:ascii="仿宋" w:hAnsi="仿宋" w:eastAsia="仿宋"/>
          <w:sz w:val="28"/>
          <w:szCs w:val="28"/>
          <w:highlight w:val="none"/>
        </w:rPr>
        <w:t>章）：</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ascii="仿宋" w:hAnsi="仿宋" w:eastAsia="仿宋"/>
          <w:sz w:val="28"/>
          <w:szCs w:val="28"/>
          <w:highlight w:val="none"/>
        </w:rPr>
        <w:t>盖</w:t>
      </w:r>
      <w:r>
        <w:rPr>
          <w:rFonts w:hint="eastAsia" w:ascii="仿宋" w:hAnsi="仿宋" w:eastAsia="仿宋"/>
          <w:sz w:val="28"/>
          <w:szCs w:val="28"/>
          <w:highlight w:val="none"/>
        </w:rPr>
        <w:t xml:space="preserve">章）：      </w:t>
      </w: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val="en-US" w:eastAsia="zh-CN"/>
        </w:rPr>
      </w:pP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字）：</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经办人</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 xml:space="preserve">字）：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 xml:space="preserve">日 </w:t>
      </w:r>
      <w:r>
        <w:rPr>
          <w:rFonts w:ascii="仿宋" w:hAnsi="仿宋" w:eastAsia="仿宋"/>
          <w:sz w:val="28"/>
          <w:szCs w:val="28"/>
          <w:highlight w:val="none"/>
        </w:rPr>
        <w:t xml:space="preserve">                   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日</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32"/>
          <w:szCs w:val="28"/>
          <w:highlight w:val="none"/>
        </w:rPr>
      </w:pPr>
      <w:r>
        <w:rPr>
          <w:rFonts w:hint="eastAsia" w:ascii="仿宋" w:hAnsi="仿宋" w:eastAsia="仿宋"/>
          <w:b/>
          <w:sz w:val="28"/>
          <w:szCs w:val="24"/>
          <w:highlight w:val="none"/>
        </w:rPr>
        <w:t>注：附</w:t>
      </w:r>
      <w:r>
        <w:rPr>
          <w:rFonts w:hint="eastAsia" w:ascii="仿宋" w:hAnsi="仿宋" w:eastAsia="仿宋"/>
          <w:b/>
          <w:sz w:val="28"/>
          <w:szCs w:val="24"/>
          <w:highlight w:val="none"/>
          <w:lang w:val="en-US" w:eastAsia="zh-CN"/>
        </w:rPr>
        <w:t>报价一览表、</w:t>
      </w:r>
      <w:r>
        <w:rPr>
          <w:rFonts w:hint="eastAsia" w:ascii="仿宋" w:hAnsi="仿宋" w:eastAsia="仿宋"/>
          <w:b/>
          <w:sz w:val="28"/>
          <w:szCs w:val="24"/>
          <w:highlight w:val="none"/>
        </w:rPr>
        <w:t>分项报价表、配置清单、售后服务承诺、</w:t>
      </w:r>
      <w:r>
        <w:rPr>
          <w:rFonts w:hint="eastAsia" w:ascii="仿宋" w:hAnsi="仿宋" w:eastAsia="仿宋"/>
          <w:b/>
          <w:sz w:val="28"/>
          <w:szCs w:val="24"/>
          <w:highlight w:val="none"/>
          <w:lang w:eastAsia="zh-CN"/>
        </w:rPr>
        <w:t>成交通知书、</w:t>
      </w:r>
      <w:r>
        <w:rPr>
          <w:rFonts w:hint="eastAsia" w:ascii="仿宋" w:hAnsi="仿宋" w:eastAsia="仿宋" w:cs="仿宋"/>
          <w:b/>
          <w:sz w:val="28"/>
          <w:szCs w:val="28"/>
          <w:highlight w:val="none"/>
        </w:rPr>
        <w:t>廉洁购销合同</w:t>
      </w:r>
      <w:r>
        <w:rPr>
          <w:rFonts w:hint="eastAsia" w:ascii="仿宋" w:hAnsi="仿宋" w:eastAsia="仿宋" w:cs="仿宋"/>
          <w:b/>
          <w:sz w:val="28"/>
          <w:szCs w:val="28"/>
          <w:highlight w:val="none"/>
          <w:lang w:val="en-US" w:eastAsia="zh-CN"/>
        </w:rPr>
        <w:t>(</w:t>
      </w:r>
      <w:r>
        <w:rPr>
          <w:rFonts w:hint="eastAsia" w:ascii="仿宋" w:hAnsi="仿宋" w:eastAsia="仿宋" w:cs="仿宋"/>
          <w:b/>
          <w:sz w:val="28"/>
          <w:szCs w:val="28"/>
          <w:highlight w:val="none"/>
        </w:rPr>
        <w:t>廉洁购销合同</w:t>
      </w:r>
      <w:r>
        <w:rPr>
          <w:rFonts w:hint="eastAsia" w:ascii="仿宋" w:hAnsi="仿宋" w:eastAsia="仿宋" w:cs="仿宋"/>
          <w:b/>
          <w:sz w:val="28"/>
          <w:szCs w:val="28"/>
          <w:highlight w:val="none"/>
          <w:lang w:val="en-US" w:eastAsia="zh-CN"/>
        </w:rPr>
        <w:t>甲乙双方持有）</w:t>
      </w:r>
      <w:r>
        <w:rPr>
          <w:rFonts w:hint="eastAsia" w:ascii="仿宋" w:hAnsi="仿宋" w:eastAsia="仿宋"/>
          <w:b/>
          <w:sz w:val="32"/>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九、本合同一式三份，甲、乙双方各执一份，甲方纪检监察部门执一份，并从签订之日起生效。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pPr>
        <w:pStyle w:val="11"/>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pPr>
        <w:pStyle w:val="11"/>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spacing w:line="340" w:lineRule="exact"/>
        <w:rPr>
          <w:rStyle w:val="21"/>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（项目名称）竞争性磋商</w:t>
      </w:r>
    </w:p>
    <w:p>
      <w:pPr>
        <w:pStyle w:val="11"/>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2800" w:firstLineChars="1000"/>
        <w:rPr>
          <w:rStyle w:val="21"/>
          <w:rFonts w:ascii="仿宋" w:hAnsi="仿宋" w:eastAsia="仿宋" w:cs="宋体"/>
          <w:b w:val="0"/>
          <w:kern w:val="0"/>
          <w:sz w:val="28"/>
          <w:highlight w:val="none"/>
        </w:rPr>
      </w:pPr>
    </w:p>
    <w:p>
      <w:pPr>
        <w:pStyle w:val="11"/>
        <w:spacing w:line="340" w:lineRule="exact"/>
        <w:ind w:firstLine="1400" w:firstLineChars="500"/>
        <w:rPr>
          <w:rStyle w:val="21"/>
          <w:rFonts w:ascii="仿宋" w:hAnsi="仿宋" w:eastAsia="仿宋" w:cs="宋体"/>
          <w:b w:val="0"/>
          <w:kern w:val="0"/>
          <w:sz w:val="28"/>
          <w:highlight w:val="none"/>
        </w:rPr>
      </w:pPr>
    </w:p>
    <w:p>
      <w:pPr>
        <w:pStyle w:val="11"/>
        <w:spacing w:line="340" w:lineRule="exact"/>
        <w:ind w:firstLine="1400" w:firstLineChars="500"/>
        <w:rPr>
          <w:rStyle w:val="21"/>
          <w:rFonts w:ascii="仿宋" w:hAnsi="仿宋" w:eastAsia="仿宋" w:cs="宋体"/>
          <w:b w:val="0"/>
          <w:kern w:val="0"/>
          <w:sz w:val="28"/>
          <w:highlight w:val="none"/>
        </w:rPr>
      </w:pPr>
    </w:p>
    <w:p>
      <w:pPr>
        <w:pStyle w:val="11"/>
        <w:spacing w:line="340" w:lineRule="exact"/>
        <w:ind w:firstLine="1400" w:firstLineChars="500"/>
        <w:rPr>
          <w:rStyle w:val="21"/>
          <w:rFonts w:ascii="仿宋" w:hAnsi="仿宋" w:eastAsia="仿宋" w:cs="宋体"/>
          <w:b w:val="0"/>
          <w:kern w:val="0"/>
          <w:sz w:val="28"/>
          <w:highlight w:val="none"/>
        </w:rPr>
      </w:pPr>
    </w:p>
    <w:p>
      <w:pPr>
        <w:pStyle w:val="11"/>
        <w:spacing w:line="340" w:lineRule="exact"/>
        <w:ind w:firstLine="1400" w:firstLineChars="500"/>
        <w:rPr>
          <w:rStyle w:val="21"/>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pPr>
        <w:pStyle w:val="11"/>
        <w:jc w:val="center"/>
        <w:rPr>
          <w:rStyle w:val="21"/>
          <w:rFonts w:ascii="仿宋" w:hAnsi="仿宋" w:eastAsia="仿宋" w:cs="宋体"/>
          <w:b w:val="0"/>
          <w:kern w:val="0"/>
          <w:sz w:val="32"/>
          <w:szCs w:val="22"/>
          <w:highlight w:val="none"/>
        </w:rPr>
      </w:pPr>
    </w:p>
    <w:p>
      <w:pPr>
        <w:pStyle w:val="11"/>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pPr>
        <w:pStyle w:val="11"/>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w:t>
      </w:r>
      <w:r>
        <w:rPr>
          <w:rStyle w:val="21"/>
          <w:rFonts w:hint="eastAsia" w:ascii="仿宋" w:hAnsi="仿宋" w:eastAsia="仿宋" w:cs="宋体"/>
          <w:b w:val="0"/>
          <w:kern w:val="0"/>
          <w:sz w:val="28"/>
          <w:szCs w:val="28"/>
          <w:highlight w:val="none"/>
          <w:lang w:eastAsia="zh-CN"/>
        </w:rPr>
        <w:t>分项报价表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三、货物配置与技术规格偏离表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r>
        <w:rPr>
          <w:rStyle w:val="21"/>
          <w:rFonts w:hint="eastAsia" w:ascii="仿宋" w:hAnsi="仿宋" w:eastAsia="仿宋" w:cs="宋体"/>
          <w:b w:val="0"/>
          <w:kern w:val="0"/>
          <w:sz w:val="28"/>
          <w:szCs w:val="28"/>
          <w:highlight w:val="none"/>
        </w:rPr>
        <w:tab/>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九、质保期满后供应的备品备件、易损件、耗材、专用工具价格表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w:t>
      </w:r>
      <w:r>
        <w:rPr>
          <w:rStyle w:val="21"/>
          <w:rFonts w:hint="eastAsia" w:ascii="仿宋" w:hAnsi="仿宋" w:eastAsia="仿宋" w:cs="宋体"/>
          <w:b w:val="0"/>
          <w:kern w:val="0"/>
          <w:sz w:val="28"/>
          <w:szCs w:val="28"/>
          <w:highlight w:val="none"/>
          <w:lang w:eastAsia="zh-CN"/>
        </w:rPr>
        <w:t>技术方案</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二</w:t>
      </w:r>
      <w:r>
        <w:rPr>
          <w:rStyle w:val="21"/>
          <w:rFonts w:hint="eastAsia" w:ascii="仿宋" w:hAnsi="仿宋" w:eastAsia="仿宋" w:cs="宋体"/>
          <w:b w:val="0"/>
          <w:kern w:val="0"/>
          <w:sz w:val="28"/>
          <w:szCs w:val="28"/>
          <w:highlight w:val="none"/>
        </w:rPr>
        <w:t>、其它材料</w:t>
      </w:r>
    </w:p>
    <w:p>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一、报价一览表</w:t>
      </w:r>
    </w:p>
    <w:p>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报</w:t>
            </w:r>
            <w:r>
              <w:rPr>
                <w:rStyle w:val="21"/>
                <w:rFonts w:hint="eastAsia" w:ascii="仿宋" w:hAnsi="仿宋" w:eastAsia="仿宋" w:cs="宋体"/>
                <w:b w:val="0"/>
                <w:kern w:val="0"/>
                <w:sz w:val="28"/>
                <w:highlight w:val="none"/>
                <w:lang w:val="en-US" w:eastAsia="zh-CN"/>
              </w:rPr>
              <w:t xml:space="preserve">   </w:t>
            </w:r>
            <w:r>
              <w:rPr>
                <w:rStyle w:val="21"/>
                <w:rFonts w:hint="eastAsia" w:ascii="仿宋" w:hAnsi="仿宋" w:eastAsia="仿宋" w:cs="宋体"/>
                <w:b w:val="0"/>
                <w:kern w:val="0"/>
                <w:sz w:val="28"/>
                <w:highlight w:val="none"/>
              </w:rPr>
              <w:t>价</w:t>
            </w:r>
          </w:p>
          <w:p>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单位：元/台</w:t>
            </w:r>
            <w:r>
              <w:rPr>
                <w:rStyle w:val="21"/>
                <w:rFonts w:hint="eastAsia" w:ascii="仿宋" w:hAnsi="仿宋" w:eastAsia="仿宋" w:cs="宋体"/>
                <w:b w:val="0"/>
                <w:kern w:val="0"/>
                <w:sz w:val="28"/>
                <w:highlight w:val="none"/>
                <w:lang w:val="en-US" w:eastAsia="zh-CN"/>
              </w:rPr>
              <w:t>）</w:t>
            </w:r>
          </w:p>
        </w:tc>
        <w:tc>
          <w:tcPr>
            <w:tcW w:w="5725" w:type="dxa"/>
            <w:vAlign w:val="center"/>
          </w:tcPr>
          <w:p>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5725" w:type="dxa"/>
            <w:vAlign w:val="center"/>
          </w:tcPr>
          <w:p>
            <w:pPr>
              <w:pStyle w:val="11"/>
              <w:ind w:left="77"/>
              <w:jc w:val="left"/>
              <w:rPr>
                <w:rStyle w:val="21"/>
                <w:rFonts w:hint="default" w:ascii="仿宋" w:hAnsi="仿宋" w:eastAsia="仿宋" w:cs="宋体"/>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lang w:eastAsia="zh-CN"/>
              </w:rPr>
            </w:pPr>
            <w:r>
              <w:rPr>
                <w:rStyle w:val="21"/>
                <w:rFonts w:hint="eastAsia" w:ascii="仿宋" w:hAnsi="仿宋" w:eastAsia="仿宋" w:cs="宋体"/>
                <w:b w:val="0"/>
                <w:kern w:val="0"/>
                <w:sz w:val="28"/>
                <w:highlight w:val="none"/>
                <w:lang w:eastAsia="zh-CN"/>
              </w:rPr>
              <w:t>质保期</w:t>
            </w:r>
          </w:p>
        </w:tc>
        <w:tc>
          <w:tcPr>
            <w:tcW w:w="5725" w:type="dxa"/>
            <w:vAlign w:val="center"/>
          </w:tcPr>
          <w:p>
            <w:pPr>
              <w:pStyle w:val="11"/>
              <w:ind w:left="77"/>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pPr>
              <w:pStyle w:val="11"/>
              <w:jc w:val="left"/>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pPr>
              <w:pStyle w:val="11"/>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1"/>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jc w:val="right"/>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设备）</w:t>
      </w:r>
    </w:p>
    <w:p>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pPr>
        <w:pStyle w:val="11"/>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lang w:val="en-US" w:eastAsia="zh-CN"/>
        </w:rPr>
        <w:t xml:space="preserve">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单位：</w:t>
      </w:r>
      <w:r>
        <w:rPr>
          <w:rStyle w:val="21"/>
          <w:rFonts w:hint="eastAsia" w:ascii="仿宋" w:hAnsi="仿宋" w:eastAsia="仿宋" w:cs="宋体"/>
          <w:b w:val="0"/>
          <w:kern w:val="0"/>
          <w:sz w:val="28"/>
          <w:highlight w:val="none"/>
          <w:lang w:val="en-US" w:eastAsia="zh-CN"/>
        </w:rPr>
        <w:t xml:space="preserve"> </w:t>
      </w:r>
      <w:r>
        <w:rPr>
          <w:rStyle w:val="21"/>
          <w:rFonts w:hint="eastAsia" w:ascii="仿宋" w:hAnsi="仿宋" w:eastAsia="仿宋" w:cs="宋体"/>
          <w:b w:val="0"/>
          <w:kern w:val="0"/>
          <w:sz w:val="28"/>
          <w:highlight w:val="none"/>
        </w:rPr>
        <w:t>元</w:t>
      </w:r>
    </w:p>
    <w:tbl>
      <w:tblPr>
        <w:tblStyle w:val="19"/>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货物名称</w:t>
            </w:r>
            <w:r>
              <w:rPr>
                <w:rStyle w:val="21"/>
                <w:rFonts w:hint="eastAsia" w:ascii="仿宋" w:hAnsi="仿宋" w:eastAsia="仿宋" w:cs="宋体"/>
                <w:b w:val="0"/>
                <w:kern w:val="0"/>
                <w:sz w:val="28"/>
                <w:highlight w:val="none"/>
              </w:rPr>
              <w:t xml:space="preserve"> </w:t>
            </w: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品牌</w:t>
            </w: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规格/型号</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详细参数）</w:t>
            </w: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数量</w:t>
            </w: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单位</w:t>
            </w: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单价</w:t>
            </w: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合计</w:t>
            </w: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1</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2</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3</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4</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5</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6</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7</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p>
        </w:tc>
        <w:tc>
          <w:tcPr>
            <w:tcW w:w="1440"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043"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1812"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9"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47"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905"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32"/>
                <w:szCs w:val="22"/>
                <w:highlight w:val="none"/>
                <w:vertAlign w:val="baseline"/>
                <w:lang w:val="en-US" w:eastAsia="zh-CN"/>
              </w:rPr>
            </w:pPr>
            <w:r>
              <w:rPr>
                <w:rStyle w:val="21"/>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default" w:ascii="仿宋" w:hAnsi="仿宋" w:eastAsia="仿宋" w:cs="宋体"/>
                <w:b w:val="0"/>
                <w:bCs/>
                <w:kern w:val="0"/>
                <w:sz w:val="28"/>
                <w:szCs w:val="21"/>
                <w:highlight w:val="none"/>
                <w:vertAlign w:val="baseline"/>
                <w:lang w:val="en-US" w:eastAsia="zh-CN"/>
              </w:rPr>
            </w:pPr>
            <w:r>
              <w:rPr>
                <w:rStyle w:val="21"/>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eastAsia" w:ascii="仿宋" w:hAnsi="仿宋" w:eastAsia="仿宋" w:cs="宋体"/>
                <w:b w:val="0"/>
                <w:bCs/>
                <w:kern w:val="0"/>
                <w:sz w:val="28"/>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default" w:ascii="仿宋" w:hAnsi="仿宋" w:eastAsia="仿宋" w:cs="宋体"/>
                <w:b w:val="0"/>
                <w:bCs/>
                <w:kern w:val="0"/>
                <w:sz w:val="28"/>
                <w:szCs w:val="21"/>
                <w:highlight w:val="none"/>
                <w:vertAlign w:val="baseline"/>
                <w:lang w:val="en-US" w:eastAsia="zh-CN"/>
              </w:rPr>
            </w:pPr>
            <w:r>
              <w:rPr>
                <w:rStyle w:val="21"/>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pPr>
              <w:pStyle w:val="11"/>
              <w:keepNext w:val="0"/>
              <w:keepLines w:val="0"/>
              <w:pageBreakBefore w:val="0"/>
              <w:widowControl w:val="0"/>
              <w:kinsoku/>
              <w:wordWrap/>
              <w:overflowPunct/>
              <w:topLinePunct w:val="0"/>
              <w:autoSpaceDE/>
              <w:autoSpaceDN/>
              <w:bidi w:val="0"/>
              <w:adjustRightInd/>
              <w:snapToGrid/>
              <w:jc w:val="left"/>
              <w:textAlignment w:val="auto"/>
              <w:rPr>
                <w:rStyle w:val="21"/>
                <w:rFonts w:hint="eastAsia" w:ascii="仿宋" w:hAnsi="仿宋" w:eastAsia="仿宋" w:cs="宋体"/>
                <w:b w:val="0"/>
                <w:bCs/>
                <w:kern w:val="0"/>
                <w:sz w:val="28"/>
                <w:szCs w:val="21"/>
                <w:highlight w:val="none"/>
                <w:vertAlign w:val="baseline"/>
                <w:lang w:val="en-US" w:eastAsia="zh-CN"/>
              </w:rPr>
            </w:pPr>
          </w:p>
        </w:tc>
      </w:tr>
    </w:tbl>
    <w:p>
      <w:pPr>
        <w:pStyle w:val="11"/>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lang w:val="en-US" w:eastAsia="zh-CN"/>
        </w:rPr>
        <w:t>注</w:t>
      </w:r>
      <w:r>
        <w:rPr>
          <w:rStyle w:val="21"/>
          <w:rFonts w:hint="eastAsia" w:ascii="仿宋" w:hAnsi="仿宋" w:eastAsia="仿宋" w:cs="宋体"/>
          <w:b w:val="0"/>
          <w:kern w:val="0"/>
          <w:sz w:val="28"/>
          <w:highlight w:val="none"/>
        </w:rPr>
        <w:t>：可根据需求自行添加调整。</w:t>
      </w:r>
    </w:p>
    <w:p>
      <w:pPr>
        <w:pStyle w:val="11"/>
        <w:jc w:val="left"/>
        <w:rPr>
          <w:rStyle w:val="21"/>
          <w:rFonts w:hint="eastAsia" w:ascii="仿宋" w:hAnsi="仿宋" w:eastAsia="仿宋" w:cs="宋体"/>
          <w:b w:val="0"/>
          <w:kern w:val="0"/>
          <w:sz w:val="28"/>
          <w:highlight w:val="none"/>
        </w:rPr>
      </w:pPr>
    </w:p>
    <w:p>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jc w:val="left"/>
        <w:rPr>
          <w:rStyle w:val="21"/>
          <w:rFonts w:ascii="仿宋" w:hAnsi="仿宋" w:eastAsia="仿宋" w:cs="宋体"/>
          <w:b w:val="0"/>
          <w:kern w:val="0"/>
          <w:sz w:val="28"/>
          <w:highlight w:val="none"/>
        </w:rPr>
      </w:pPr>
    </w:p>
    <w:p>
      <w:pPr>
        <w:pStyle w:val="11"/>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1"/>
        <w:jc w:val="right"/>
        <w:rPr>
          <w:rStyle w:val="21"/>
          <w:rFonts w:hint="eastAsia" w:ascii="仿宋" w:hAnsi="仿宋" w:eastAsia="仿宋" w:cs="宋体"/>
          <w:b/>
          <w:bCs w:val="0"/>
          <w:kern w:val="0"/>
          <w:sz w:val="32"/>
          <w:szCs w:val="22"/>
          <w:highlight w:val="none"/>
        </w:rPr>
      </w:pPr>
      <w:r>
        <w:rPr>
          <w:rStyle w:val="21"/>
          <w:rFonts w:hint="eastAsia" w:ascii="仿宋" w:hAnsi="仿宋" w:eastAsia="仿宋" w:cs="宋体"/>
          <w:b w:val="0"/>
          <w:kern w:val="0"/>
          <w:sz w:val="28"/>
          <w:highlight w:val="none"/>
        </w:rPr>
        <w:t>年 月 日</w:t>
      </w:r>
    </w:p>
    <w:p>
      <w:pPr>
        <w:pStyle w:val="11"/>
        <w:jc w:val="right"/>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pPr>
        <w:pStyle w:val="7"/>
        <w:rPr>
          <w:rFonts w:hint="eastAsia"/>
          <w:highlight w:val="none"/>
        </w:rPr>
      </w:pP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三、货物配置与技术规格偏离表</w:t>
      </w:r>
    </w:p>
    <w:tbl>
      <w:tblPr>
        <w:tblStyle w:val="18"/>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pPr>
              <w:pStyle w:val="15"/>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pStyle w:val="15"/>
              <w:ind w:firstLine="0" w:firstLineChars="0"/>
              <w:rPr>
                <w:rFonts w:hint="eastAsia" w:ascii="仿宋" w:hAnsi="仿宋" w:eastAsia="仿宋"/>
                <w:sz w:val="28"/>
                <w:szCs w:val="28"/>
                <w:highlight w:val="none"/>
              </w:rPr>
            </w:pPr>
          </w:p>
        </w:tc>
        <w:tc>
          <w:tcPr>
            <w:tcW w:w="1499" w:type="dxa"/>
            <w:noWrap w:val="0"/>
            <w:vAlign w:val="center"/>
          </w:tcPr>
          <w:p>
            <w:pPr>
              <w:pStyle w:val="15"/>
              <w:ind w:firstLine="0" w:firstLineChars="0"/>
              <w:rPr>
                <w:rFonts w:hint="eastAsia" w:ascii="仿宋" w:hAnsi="仿宋" w:eastAsia="仿宋"/>
                <w:sz w:val="28"/>
                <w:szCs w:val="28"/>
                <w:highlight w:val="none"/>
              </w:rPr>
            </w:pPr>
          </w:p>
        </w:tc>
        <w:tc>
          <w:tcPr>
            <w:tcW w:w="1426" w:type="dxa"/>
            <w:noWrap w:val="0"/>
            <w:vAlign w:val="center"/>
          </w:tcPr>
          <w:p>
            <w:pPr>
              <w:pStyle w:val="15"/>
              <w:ind w:firstLine="0" w:firstLineChars="0"/>
              <w:rPr>
                <w:rFonts w:hint="eastAsia" w:ascii="仿宋" w:hAnsi="仿宋" w:eastAsia="仿宋"/>
                <w:sz w:val="28"/>
                <w:szCs w:val="28"/>
                <w:highlight w:val="none"/>
              </w:rPr>
            </w:pPr>
          </w:p>
        </w:tc>
        <w:tc>
          <w:tcPr>
            <w:tcW w:w="2011" w:type="dxa"/>
            <w:noWrap w:val="0"/>
            <w:vAlign w:val="center"/>
          </w:tcPr>
          <w:p>
            <w:pPr>
              <w:pStyle w:val="15"/>
              <w:ind w:firstLine="0" w:firstLineChars="0"/>
              <w:rPr>
                <w:rFonts w:hint="eastAsia" w:ascii="仿宋" w:hAnsi="仿宋" w:eastAsia="仿宋"/>
                <w:sz w:val="28"/>
                <w:szCs w:val="28"/>
                <w:highlight w:val="none"/>
              </w:rPr>
            </w:pPr>
          </w:p>
        </w:tc>
        <w:tc>
          <w:tcPr>
            <w:tcW w:w="1608" w:type="dxa"/>
            <w:noWrap w:val="0"/>
            <w:vAlign w:val="center"/>
          </w:tcPr>
          <w:p>
            <w:pPr>
              <w:pStyle w:val="15"/>
              <w:ind w:firstLine="0" w:firstLineChars="0"/>
              <w:rPr>
                <w:rFonts w:hint="eastAsia" w:ascii="仿宋" w:hAnsi="仿宋" w:eastAsia="仿宋"/>
                <w:sz w:val="28"/>
                <w:szCs w:val="28"/>
                <w:highlight w:val="none"/>
              </w:rPr>
            </w:pPr>
          </w:p>
        </w:tc>
        <w:tc>
          <w:tcPr>
            <w:tcW w:w="2159" w:type="dxa"/>
            <w:noWrap w:val="0"/>
            <w:vAlign w:val="center"/>
          </w:tcPr>
          <w:p>
            <w:pPr>
              <w:pStyle w:val="15"/>
              <w:ind w:firstLine="0" w:firstLineChars="0"/>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pPr>
              <w:adjustRightInd w:val="0"/>
              <w:spacing w:line="360" w:lineRule="auto"/>
              <w:jc w:val="center"/>
              <w:rPr>
                <w:rFonts w:hint="eastAsia" w:ascii="仿宋" w:hAnsi="仿宋" w:eastAsia="仿宋"/>
                <w:sz w:val="28"/>
                <w:szCs w:val="28"/>
                <w:highlight w:val="none"/>
              </w:rPr>
            </w:pPr>
          </w:p>
        </w:tc>
        <w:tc>
          <w:tcPr>
            <w:tcW w:w="1499" w:type="dxa"/>
            <w:noWrap w:val="0"/>
            <w:vAlign w:val="center"/>
          </w:tcPr>
          <w:p>
            <w:pPr>
              <w:adjustRightInd w:val="0"/>
              <w:spacing w:line="360" w:lineRule="auto"/>
              <w:jc w:val="center"/>
              <w:rPr>
                <w:rFonts w:hint="eastAsia" w:ascii="仿宋" w:hAnsi="仿宋" w:eastAsia="仿宋"/>
                <w:sz w:val="28"/>
                <w:szCs w:val="28"/>
                <w:highlight w:val="none"/>
              </w:rPr>
            </w:pPr>
          </w:p>
        </w:tc>
        <w:tc>
          <w:tcPr>
            <w:tcW w:w="1426" w:type="dxa"/>
            <w:noWrap w:val="0"/>
            <w:vAlign w:val="center"/>
          </w:tcPr>
          <w:p>
            <w:pPr>
              <w:adjustRightInd w:val="0"/>
              <w:spacing w:line="360" w:lineRule="auto"/>
              <w:jc w:val="center"/>
              <w:rPr>
                <w:rFonts w:hint="eastAsia" w:ascii="仿宋" w:hAnsi="仿宋" w:eastAsia="仿宋"/>
                <w:sz w:val="28"/>
                <w:szCs w:val="28"/>
                <w:highlight w:val="none"/>
              </w:rPr>
            </w:pPr>
          </w:p>
        </w:tc>
        <w:tc>
          <w:tcPr>
            <w:tcW w:w="2011" w:type="dxa"/>
            <w:noWrap w:val="0"/>
            <w:vAlign w:val="center"/>
          </w:tcPr>
          <w:p>
            <w:pPr>
              <w:adjustRightInd w:val="0"/>
              <w:spacing w:line="360" w:lineRule="auto"/>
              <w:jc w:val="center"/>
              <w:rPr>
                <w:rFonts w:hint="eastAsia" w:ascii="仿宋" w:hAnsi="仿宋" w:eastAsia="仿宋"/>
                <w:sz w:val="28"/>
                <w:szCs w:val="28"/>
                <w:highlight w:val="none"/>
              </w:rPr>
            </w:pPr>
          </w:p>
        </w:tc>
        <w:tc>
          <w:tcPr>
            <w:tcW w:w="1608" w:type="dxa"/>
            <w:noWrap w:val="0"/>
            <w:vAlign w:val="center"/>
          </w:tcPr>
          <w:p>
            <w:pPr>
              <w:adjustRightInd w:val="0"/>
              <w:spacing w:line="360" w:lineRule="auto"/>
              <w:jc w:val="center"/>
              <w:rPr>
                <w:rFonts w:hint="eastAsia" w:ascii="仿宋" w:hAnsi="仿宋" w:eastAsia="仿宋"/>
                <w:sz w:val="28"/>
                <w:szCs w:val="28"/>
                <w:highlight w:val="none"/>
              </w:rPr>
            </w:pPr>
          </w:p>
        </w:tc>
        <w:tc>
          <w:tcPr>
            <w:tcW w:w="2159" w:type="dxa"/>
            <w:noWrap w:val="0"/>
            <w:vAlign w:val="center"/>
          </w:tcPr>
          <w:p>
            <w:pPr>
              <w:adjustRightInd w:val="0"/>
              <w:spacing w:line="360" w:lineRule="auto"/>
              <w:jc w:val="center"/>
              <w:rPr>
                <w:rFonts w:hint="eastAsia" w:ascii="仿宋" w:hAnsi="仿宋" w:eastAsia="仿宋"/>
                <w:sz w:val="28"/>
                <w:szCs w:val="28"/>
                <w:highlight w:val="none"/>
              </w:rPr>
            </w:pPr>
          </w:p>
        </w:tc>
      </w:tr>
    </w:tbl>
    <w:p>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pPr>
        <w:pStyle w:val="15"/>
        <w:ind w:firstLine="0" w:firstLineChars="0"/>
        <w:rPr>
          <w:rFonts w:hint="eastAsia" w:ascii="仿宋" w:hAnsi="仿宋" w:eastAsia="仿宋"/>
          <w:sz w:val="28"/>
          <w:szCs w:val="24"/>
          <w:highlight w:val="none"/>
        </w:rPr>
      </w:pPr>
      <w:bookmarkStart w:id="5"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5"/>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pPr>
        <w:keepNext w:val="0"/>
        <w:keepLines w:val="0"/>
        <w:pageBreakBefore w:val="0"/>
        <w:widowControl w:val="0"/>
        <w:kinsoku/>
        <w:wordWrap/>
        <w:overflowPunct/>
        <w:topLinePunct w:val="0"/>
        <w:autoSpaceDE/>
        <w:autoSpaceDN/>
        <w:bidi w:val="0"/>
        <w:adjustRightInd/>
        <w:snapToGrid/>
        <w:spacing w:line="320" w:lineRule="exact"/>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 xml:space="preserve">月 </w:t>
      </w:r>
      <w:r>
        <w:rPr>
          <w:rStyle w:val="21"/>
          <w:rFonts w:hint="eastAsia" w:ascii="仿宋" w:hAnsi="仿宋" w:eastAsia="仿宋" w:cs="宋体"/>
          <w:b w:val="0"/>
          <w:kern w:val="0"/>
          <w:sz w:val="28"/>
          <w:highlight w:val="none"/>
          <w:u w:val="single"/>
        </w:rPr>
        <w:t>＿</w:t>
      </w:r>
      <w:r>
        <w:rPr>
          <w:rStyle w:val="21"/>
          <w:rFonts w:hint="eastAsia" w:ascii="仿宋" w:hAnsi="仿宋" w:eastAsia="仿宋" w:cs="宋体"/>
          <w:b w:val="0"/>
          <w:kern w:val="0"/>
          <w:sz w:val="28"/>
          <w:highlight w:val="none"/>
        </w:rPr>
        <w:t>日</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pPr>
        <w:pStyle w:val="11"/>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 性别： 年龄： 职务：</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pPr>
        <w:pStyle w:val="11"/>
        <w:ind w:right="1120"/>
        <w:jc w:val="center"/>
        <w:rPr>
          <w:rStyle w:val="21"/>
          <w:rFonts w:ascii="仿宋" w:hAnsi="仿宋" w:eastAsia="仿宋" w:cs="宋体"/>
          <w:b w:val="0"/>
          <w:kern w:val="0"/>
          <w:sz w:val="28"/>
          <w:highlight w:val="none"/>
        </w:rPr>
      </w:pPr>
    </w:p>
    <w:p>
      <w:pPr>
        <w:pStyle w:val="11"/>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p>
    <w:p>
      <w:pPr>
        <w:pStyle w:val="11"/>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1"/>
        <w:ind w:right="1120" w:firstLine="3640" w:firstLineChars="1300"/>
        <w:rPr>
          <w:rStyle w:val="21"/>
          <w:rFonts w:ascii="仿宋" w:hAnsi="仿宋" w:eastAsia="仿宋" w:cs="宋体"/>
          <w:b w:val="0"/>
          <w:kern w:val="0"/>
          <w:sz w:val="28"/>
          <w:highlight w:val="none"/>
        </w:rPr>
      </w:pPr>
    </w:p>
    <w:p>
      <w:pPr>
        <w:pStyle w:val="11"/>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6" w:name="_Toc318788779"/>
      <w:r>
        <w:rPr>
          <w:rStyle w:val="21"/>
          <w:rFonts w:hint="eastAsia" w:ascii="仿宋" w:hAnsi="仿宋" w:eastAsia="仿宋" w:cs="宋体"/>
          <w:b/>
          <w:bCs w:val="0"/>
          <w:kern w:val="0"/>
          <w:sz w:val="32"/>
          <w:szCs w:val="22"/>
          <w:highlight w:val="none"/>
          <w:lang w:val="en-US" w:eastAsia="zh-CN"/>
        </w:rPr>
        <w:t>供应商</w:t>
      </w:r>
      <w:bookmarkEnd w:id="6"/>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bl>
    <w:p>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备注：本表后应附供应商营业执照、医疗器械经营许可证(或医疗器械经营备案凭证)或医疗器械生产许可证、医疗器械注册证、生产厂家授权书（代理商提供）等资格审查材料。所填写内容应准确无误。</w:t>
      </w:r>
    </w:p>
    <w:p>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7" w:name="_Toc187146970"/>
      <w:bookmarkStart w:id="8" w:name="_Toc101085381"/>
      <w:bookmarkStart w:id="9" w:name="_Toc252113258"/>
      <w:bookmarkStart w:id="10" w:name="_Toc318788780"/>
    </w:p>
    <w:bookmarkEnd w:id="7"/>
    <w:bookmarkEnd w:id="8"/>
    <w:bookmarkEnd w:id="9"/>
    <w:bookmarkEnd w:id="10"/>
    <w:p>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pPr>
        <w:pStyle w:val="11"/>
        <w:jc w:val="center"/>
        <w:rPr>
          <w:rStyle w:val="21"/>
          <w:rFonts w:ascii="仿宋" w:hAnsi="仿宋" w:eastAsia="仿宋" w:cs="宋体"/>
          <w:b w:val="0"/>
          <w:kern w:val="0"/>
          <w:highlight w:val="none"/>
        </w:rPr>
      </w:pP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1"/>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pPr>
        <w:pStyle w:val="11"/>
        <w:ind w:firstLine="280" w:firstLineChars="100"/>
        <w:jc w:val="left"/>
        <w:rPr>
          <w:rStyle w:val="21"/>
          <w:rFonts w:hint="eastAsia" w:ascii="仿宋" w:hAnsi="仿宋" w:eastAsia="仿宋" w:cs="宋体"/>
          <w:b w:val="0"/>
          <w:kern w:val="0"/>
          <w:sz w:val="28"/>
          <w:highlight w:val="none"/>
        </w:rPr>
      </w:pPr>
    </w:p>
    <w:p>
      <w:pPr>
        <w:pStyle w:val="11"/>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ind w:firstLine="280" w:firstLineChars="100"/>
        <w:jc w:val="left"/>
        <w:rPr>
          <w:rStyle w:val="21"/>
          <w:rFonts w:hint="eastAsia" w:ascii="仿宋" w:hAnsi="仿宋" w:eastAsia="仿宋" w:cs="宋体"/>
          <w:b w:val="0"/>
          <w:kern w:val="0"/>
          <w:sz w:val="28"/>
          <w:highlight w:val="none"/>
        </w:rPr>
      </w:pPr>
    </w:p>
    <w:p>
      <w:pPr>
        <w:pStyle w:val="11"/>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pPr>
        <w:pStyle w:val="11"/>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p>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pPr>
              <w:pStyle w:val="11"/>
              <w:jc w:val="center"/>
              <w:rPr>
                <w:rStyle w:val="21"/>
                <w:rFonts w:ascii="仿宋" w:hAnsi="仿宋" w:eastAsia="仿宋" w:cs="宋体"/>
                <w:b w:val="0"/>
                <w:kern w:val="0"/>
                <w:sz w:val="28"/>
                <w:highlight w:val="none"/>
              </w:rPr>
            </w:pPr>
          </w:p>
        </w:tc>
        <w:tc>
          <w:tcPr>
            <w:tcW w:w="1590"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4762" w:type="dxa"/>
            <w:gridSpan w:val="3"/>
            <w:vAlign w:val="center"/>
          </w:tcPr>
          <w:p>
            <w:pPr>
              <w:pStyle w:val="11"/>
              <w:jc w:val="center"/>
              <w:rPr>
                <w:rStyle w:val="21"/>
                <w:rFonts w:ascii="仿宋" w:hAnsi="仿宋" w:eastAsia="仿宋" w:cs="宋体"/>
                <w:b w:val="0"/>
                <w:kern w:val="0"/>
                <w:sz w:val="28"/>
                <w:highlight w:val="none"/>
              </w:rPr>
            </w:pPr>
          </w:p>
        </w:tc>
        <w:tc>
          <w:tcPr>
            <w:tcW w:w="1582"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4762" w:type="dxa"/>
            <w:gridSpan w:val="3"/>
            <w:vAlign w:val="center"/>
          </w:tcPr>
          <w:p>
            <w:pPr>
              <w:pStyle w:val="11"/>
              <w:jc w:val="center"/>
              <w:rPr>
                <w:rStyle w:val="21"/>
                <w:rFonts w:ascii="仿宋" w:hAnsi="仿宋" w:eastAsia="仿宋" w:cs="宋体"/>
                <w:b w:val="0"/>
                <w:kern w:val="0"/>
                <w:sz w:val="28"/>
                <w:highlight w:val="none"/>
              </w:rPr>
            </w:pPr>
          </w:p>
        </w:tc>
        <w:tc>
          <w:tcPr>
            <w:tcW w:w="1582"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4762" w:type="dxa"/>
            <w:gridSpan w:val="3"/>
            <w:vAlign w:val="center"/>
          </w:tcPr>
          <w:p>
            <w:pPr>
              <w:pStyle w:val="11"/>
              <w:jc w:val="center"/>
              <w:rPr>
                <w:rStyle w:val="21"/>
                <w:rFonts w:ascii="仿宋" w:hAnsi="仿宋" w:eastAsia="仿宋" w:cs="宋体"/>
                <w:b w:val="0"/>
                <w:kern w:val="0"/>
                <w:sz w:val="28"/>
                <w:highlight w:val="none"/>
              </w:rPr>
            </w:pPr>
          </w:p>
        </w:tc>
        <w:tc>
          <w:tcPr>
            <w:tcW w:w="1582"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4762" w:type="dxa"/>
            <w:gridSpan w:val="3"/>
            <w:vAlign w:val="center"/>
          </w:tcPr>
          <w:p>
            <w:pPr>
              <w:pStyle w:val="11"/>
              <w:jc w:val="center"/>
              <w:rPr>
                <w:rStyle w:val="21"/>
                <w:rFonts w:ascii="仿宋" w:hAnsi="仿宋" w:eastAsia="仿宋" w:cs="宋体"/>
                <w:b w:val="0"/>
                <w:kern w:val="0"/>
                <w:sz w:val="28"/>
                <w:highlight w:val="none"/>
              </w:rPr>
            </w:pPr>
          </w:p>
        </w:tc>
        <w:tc>
          <w:tcPr>
            <w:tcW w:w="1582"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1"/>
                <w:rFonts w:ascii="仿宋" w:hAnsi="仿宋" w:eastAsia="仿宋" w:cs="宋体"/>
                <w:b w:val="0"/>
                <w:kern w:val="0"/>
                <w:sz w:val="28"/>
                <w:highlight w:val="none"/>
              </w:rPr>
            </w:pPr>
          </w:p>
        </w:tc>
      </w:tr>
    </w:tbl>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pPr>
        <w:pStyle w:val="11"/>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jc w:val="center"/>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九、质保期满后供应的备品备件、易损件、耗材、专用工具价格表</w:t>
      </w:r>
    </w:p>
    <w:p>
      <w:pPr>
        <w:rPr>
          <w:rFonts w:ascii="仿宋" w:hAnsi="仿宋" w:eastAsia="仿宋"/>
          <w:sz w:val="28"/>
          <w:szCs w:val="28"/>
          <w:highlight w:val="none"/>
          <w:u w:val="single"/>
        </w:rPr>
      </w:pPr>
      <w:r>
        <w:rPr>
          <w:rFonts w:hint="eastAsia" w:ascii="仿宋" w:hAnsi="仿宋" w:eastAsia="仿宋"/>
          <w:b/>
          <w:sz w:val="28"/>
          <w:szCs w:val="28"/>
          <w:highlight w:val="none"/>
        </w:rPr>
        <w:t>项目编号：</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ascii="仿宋" w:hAnsi="仿宋" w:eastAsia="仿宋"/>
          <w:b/>
          <w:sz w:val="28"/>
          <w:szCs w:val="28"/>
          <w:highlight w:val="none"/>
          <w:u w:val="none"/>
        </w:rPr>
        <w:t xml:space="preserve">    </w:t>
      </w:r>
    </w:p>
    <w:p>
      <w:pPr>
        <w:rPr>
          <w:rFonts w:ascii="仿宋" w:hAnsi="仿宋" w:eastAsia="仿宋"/>
          <w:b/>
          <w:sz w:val="28"/>
          <w:szCs w:val="28"/>
          <w:highlight w:val="none"/>
          <w:u w:val="single"/>
        </w:rPr>
      </w:pPr>
      <w:r>
        <w:rPr>
          <w:rFonts w:hint="eastAsia" w:ascii="仿宋" w:hAnsi="仿宋" w:eastAsia="仿宋"/>
          <w:b/>
          <w:sz w:val="28"/>
          <w:szCs w:val="28"/>
          <w:highlight w:val="none"/>
        </w:rPr>
        <w:t>项目名称：</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p>
    <w:p>
      <w:pPr>
        <w:rPr>
          <w:rFonts w:ascii="仿宋" w:hAnsi="仿宋" w:eastAsia="仿宋"/>
          <w:sz w:val="24"/>
          <w:highlight w:val="none"/>
        </w:rPr>
      </w:pPr>
    </w:p>
    <w:tbl>
      <w:tblPr>
        <w:tblStyle w:val="1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pPr>
              <w:jc w:val="center"/>
              <w:rPr>
                <w:rFonts w:hint="eastAsia" w:ascii="仿宋" w:hAnsi="仿宋" w:eastAsia="仿宋"/>
                <w:sz w:val="28"/>
                <w:highlight w:val="none"/>
              </w:rPr>
            </w:pPr>
            <w:r>
              <w:rPr>
                <w:rFonts w:hint="eastAsia" w:ascii="仿宋" w:hAnsi="仿宋" w:eastAsia="仿宋"/>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pPr>
              <w:rPr>
                <w:rFonts w:hint="eastAsia" w:ascii="仿宋" w:hAnsi="仿宋" w:eastAsia="仿宋"/>
                <w:sz w:val="24"/>
                <w:highlight w:val="none"/>
              </w:rPr>
            </w:pPr>
          </w:p>
        </w:tc>
        <w:tc>
          <w:tcPr>
            <w:tcW w:w="2040"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1392"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684" w:type="dxa"/>
            <w:noWrap w:val="0"/>
            <w:vAlign w:val="center"/>
          </w:tcPr>
          <w:p>
            <w:pPr>
              <w:rPr>
                <w:rFonts w:hint="eastAsia" w:ascii="仿宋" w:hAnsi="仿宋" w:eastAsia="仿宋"/>
                <w:sz w:val="24"/>
                <w:highlight w:val="none"/>
              </w:rPr>
            </w:pPr>
          </w:p>
        </w:tc>
        <w:tc>
          <w:tcPr>
            <w:tcW w:w="720" w:type="dxa"/>
            <w:noWrap w:val="0"/>
            <w:vAlign w:val="center"/>
          </w:tcPr>
          <w:p>
            <w:pPr>
              <w:rPr>
                <w:rFonts w:hint="eastAsia" w:ascii="仿宋" w:hAnsi="仿宋" w:eastAsia="仿宋"/>
                <w:sz w:val="24"/>
                <w:highlight w:val="none"/>
              </w:rPr>
            </w:pPr>
          </w:p>
        </w:tc>
        <w:tc>
          <w:tcPr>
            <w:tcW w:w="1056" w:type="dxa"/>
            <w:noWrap w:val="0"/>
            <w:vAlign w:val="center"/>
          </w:tcPr>
          <w:p>
            <w:pPr>
              <w:rPr>
                <w:rFonts w:hint="eastAsia" w:ascii="仿宋" w:hAnsi="仿宋" w:eastAsia="仿宋"/>
                <w:sz w:val="24"/>
                <w:highlight w:val="none"/>
              </w:rPr>
            </w:pPr>
          </w:p>
        </w:tc>
        <w:tc>
          <w:tcPr>
            <w:tcW w:w="937" w:type="dxa"/>
            <w:noWrap w:val="0"/>
            <w:vAlign w:val="center"/>
          </w:tcPr>
          <w:p>
            <w:pP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pPr>
        <w:pStyle w:val="11"/>
        <w:jc w:val="right"/>
        <w:rPr>
          <w:rStyle w:val="21"/>
          <w:rFonts w:hint="eastAsia" w:ascii="仿宋" w:hAnsi="仿宋" w:eastAsia="仿宋" w:cs="宋体"/>
          <w:b/>
          <w:bCs w:val="0"/>
          <w:kern w:val="0"/>
          <w:sz w:val="32"/>
          <w:szCs w:val="22"/>
          <w:highlight w:val="none"/>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p>
    <w:p>
      <w:pPr>
        <w:pStyle w:val="11"/>
        <w:jc w:val="center"/>
        <w:rPr>
          <w:rStyle w:val="21"/>
          <w:rFonts w:hint="eastAsia" w:ascii="仿宋" w:hAnsi="仿宋" w:eastAsia="仿宋" w:cs="宋体"/>
          <w:b/>
          <w:bCs w:val="0"/>
          <w:kern w:val="0"/>
          <w:sz w:val="32"/>
          <w:szCs w:val="22"/>
          <w:highlight w:val="none"/>
        </w:rPr>
      </w:pPr>
    </w:p>
    <w:p>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pPr>
              <w:pStyle w:val="11"/>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786" w:type="dxa"/>
            <w:vAlign w:val="center"/>
          </w:tcPr>
          <w:p>
            <w:pPr>
              <w:pStyle w:val="11"/>
              <w:jc w:val="center"/>
              <w:rPr>
                <w:rStyle w:val="21"/>
                <w:rFonts w:ascii="仿宋" w:hAnsi="仿宋" w:eastAsia="仿宋" w:cs="宋体"/>
                <w:b w:val="0"/>
                <w:kern w:val="0"/>
                <w:sz w:val="28"/>
                <w:highlight w:val="none"/>
              </w:rPr>
            </w:pPr>
          </w:p>
        </w:tc>
        <w:tc>
          <w:tcPr>
            <w:tcW w:w="13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c>
          <w:tcPr>
            <w:tcW w:w="1586" w:type="dxa"/>
            <w:vAlign w:val="center"/>
          </w:tcPr>
          <w:p>
            <w:pPr>
              <w:pStyle w:val="11"/>
              <w:jc w:val="center"/>
              <w:rPr>
                <w:rStyle w:val="21"/>
                <w:rFonts w:ascii="仿宋" w:hAnsi="仿宋" w:eastAsia="仿宋" w:cs="宋体"/>
                <w:b w:val="0"/>
                <w:kern w:val="0"/>
                <w:sz w:val="28"/>
                <w:highlight w:val="none"/>
              </w:rPr>
            </w:pPr>
          </w:p>
        </w:tc>
      </w:tr>
    </w:tbl>
    <w:p>
      <w:pPr>
        <w:pStyle w:val="11"/>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1"/>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jc w:val="center"/>
        <w:rPr>
          <w:rStyle w:val="21"/>
          <w:rFonts w:hint="eastAsia" w:ascii="仿宋" w:hAnsi="仿宋" w:eastAsia="仿宋" w:cs="宋体"/>
          <w:b/>
          <w:bCs w:val="0"/>
          <w:kern w:val="0"/>
          <w:sz w:val="32"/>
          <w:szCs w:val="22"/>
          <w:highlight w:val="none"/>
        </w:rPr>
      </w:pPr>
    </w:p>
    <w:p>
      <w:pPr>
        <w:pStyle w:val="11"/>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w:t>
      </w:r>
      <w:r>
        <w:rPr>
          <w:rStyle w:val="21"/>
          <w:rFonts w:hint="eastAsia" w:ascii="仿宋" w:hAnsi="仿宋" w:eastAsia="仿宋" w:cs="宋体"/>
          <w:b/>
          <w:bCs w:val="0"/>
          <w:kern w:val="0"/>
          <w:sz w:val="28"/>
          <w:szCs w:val="21"/>
          <w:highlight w:val="none"/>
          <w:lang w:val="en-US" w:eastAsia="zh-CN"/>
        </w:rPr>
        <w:t>技术</w:t>
      </w:r>
      <w:r>
        <w:rPr>
          <w:rStyle w:val="21"/>
          <w:rFonts w:hint="eastAsia" w:ascii="仿宋" w:hAnsi="仿宋" w:eastAsia="仿宋" w:cs="宋体"/>
          <w:b/>
          <w:bCs w:val="0"/>
          <w:kern w:val="0"/>
          <w:sz w:val="28"/>
          <w:szCs w:val="21"/>
          <w:highlight w:val="none"/>
          <w:lang w:eastAsia="zh-CN"/>
        </w:rPr>
        <w:t>方案</w:t>
      </w:r>
    </w:p>
    <w:p>
      <w:pPr>
        <w:pStyle w:val="11"/>
        <w:spacing w:before="1560" w:beforeLines="500"/>
        <w:jc w:val="center"/>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pPr>
        <w:pStyle w:val="11"/>
        <w:jc w:val="right"/>
        <w:rPr>
          <w:rStyle w:val="21"/>
          <w:rFonts w:ascii="仿宋" w:hAnsi="仿宋" w:eastAsia="仿宋" w:cs="宋体"/>
          <w:b w:val="0"/>
          <w:kern w:val="0"/>
          <w:sz w:val="28"/>
          <w:highlight w:val="none"/>
        </w:rPr>
      </w:pPr>
    </w:p>
    <w:p>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1"/>
        <w:jc w:val="center"/>
        <w:rPr>
          <w:rStyle w:val="21"/>
          <w:rFonts w:hint="eastAsia" w:ascii="仿宋" w:hAnsi="仿宋" w:eastAsia="仿宋" w:cs="宋体"/>
          <w:b/>
          <w:bCs w:val="0"/>
          <w:kern w:val="0"/>
          <w:sz w:val="32"/>
          <w:szCs w:val="22"/>
          <w:highlight w:val="none"/>
        </w:rPr>
      </w:pPr>
    </w:p>
    <w:p>
      <w:pPr>
        <w:pStyle w:val="11"/>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、其他材料</w:t>
      </w:r>
    </w:p>
    <w:p>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18"/>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5</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20</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1"/>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w:t>
            </w:r>
            <w:r>
              <w:rPr>
                <w:rFonts w:hint="eastAsia" w:ascii="仿宋" w:hAnsi="仿宋" w:eastAsia="仿宋" w:cs="仿宋"/>
                <w:b/>
                <w:color w:val="FF0000"/>
                <w:sz w:val="24"/>
                <w:highlight w:val="none"/>
                <w:lang w:val="en-US" w:eastAsia="zh-CN"/>
              </w:rPr>
              <w:t>5</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20</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宋体" w:hAnsi="宋体"/>
          <w:b/>
          <w:bCs/>
          <w:kern w:val="0"/>
          <w:sz w:val="24"/>
          <w:highlight w:val="none"/>
        </w:rPr>
      </w:pPr>
    </w:p>
    <w:p>
      <w:pPr>
        <w:rPr>
          <w:rFonts w:hint="eastAsia"/>
          <w:highlight w:val="none"/>
        </w:rPr>
      </w:pPr>
    </w:p>
    <w:p>
      <w:pPr>
        <w:pStyle w:val="11"/>
        <w:rPr>
          <w:rFonts w:hint="eastAsia"/>
          <w:highlight w:val="none"/>
        </w:rPr>
      </w:pPr>
    </w:p>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AF74E"/>
    <w:multiLevelType w:val="singleLevel"/>
    <w:tmpl w:val="9DFAF74E"/>
    <w:lvl w:ilvl="0" w:tentative="0">
      <w:start w:val="5"/>
      <w:numFmt w:val="chineseCounting"/>
      <w:suff w:val="space"/>
      <w:lvlText w:val="第%1部分"/>
      <w:lvlJc w:val="left"/>
      <w:rPr>
        <w:rFonts w:hint="eastAsia"/>
      </w:rPr>
    </w:lvl>
  </w:abstractNum>
  <w:abstractNum w:abstractNumId="1">
    <w:nsid w:val="383EC9C6"/>
    <w:multiLevelType w:val="singleLevel"/>
    <w:tmpl w:val="383EC9C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MGZkMDAzOTZlZTU1MGVjMzM1N2FlMDA0M2MxYzI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564633"/>
    <w:rsid w:val="015B0C22"/>
    <w:rsid w:val="01695754"/>
    <w:rsid w:val="01905F84"/>
    <w:rsid w:val="01A408D0"/>
    <w:rsid w:val="01B21B53"/>
    <w:rsid w:val="01C11EC5"/>
    <w:rsid w:val="01D22958"/>
    <w:rsid w:val="02291FBB"/>
    <w:rsid w:val="023F6476"/>
    <w:rsid w:val="0254320A"/>
    <w:rsid w:val="025F4F30"/>
    <w:rsid w:val="029C596D"/>
    <w:rsid w:val="02A21DA6"/>
    <w:rsid w:val="02A90EDD"/>
    <w:rsid w:val="02B3384E"/>
    <w:rsid w:val="02B77D95"/>
    <w:rsid w:val="02CE4EEA"/>
    <w:rsid w:val="02E132C9"/>
    <w:rsid w:val="02F15DB1"/>
    <w:rsid w:val="03030002"/>
    <w:rsid w:val="03164C49"/>
    <w:rsid w:val="03235F90"/>
    <w:rsid w:val="035830C3"/>
    <w:rsid w:val="036A4FDC"/>
    <w:rsid w:val="03715598"/>
    <w:rsid w:val="0385197E"/>
    <w:rsid w:val="03857865"/>
    <w:rsid w:val="0395612A"/>
    <w:rsid w:val="03AF1619"/>
    <w:rsid w:val="03BE76CA"/>
    <w:rsid w:val="03BF3AD3"/>
    <w:rsid w:val="03E017D2"/>
    <w:rsid w:val="03FA541F"/>
    <w:rsid w:val="040323FF"/>
    <w:rsid w:val="040956AE"/>
    <w:rsid w:val="041E63FF"/>
    <w:rsid w:val="04777382"/>
    <w:rsid w:val="04777CB3"/>
    <w:rsid w:val="047954BB"/>
    <w:rsid w:val="048D119D"/>
    <w:rsid w:val="049B49F6"/>
    <w:rsid w:val="04B95A12"/>
    <w:rsid w:val="04C3537C"/>
    <w:rsid w:val="04C6093B"/>
    <w:rsid w:val="04D472F5"/>
    <w:rsid w:val="04E15489"/>
    <w:rsid w:val="05021BF1"/>
    <w:rsid w:val="05323476"/>
    <w:rsid w:val="05516809"/>
    <w:rsid w:val="0596669C"/>
    <w:rsid w:val="05CE576A"/>
    <w:rsid w:val="05E71362"/>
    <w:rsid w:val="06164245"/>
    <w:rsid w:val="069468A4"/>
    <w:rsid w:val="06B31E26"/>
    <w:rsid w:val="06CD3D8D"/>
    <w:rsid w:val="06E96BF0"/>
    <w:rsid w:val="06F82BCC"/>
    <w:rsid w:val="07004AD1"/>
    <w:rsid w:val="070B2EAF"/>
    <w:rsid w:val="0732367E"/>
    <w:rsid w:val="079372E2"/>
    <w:rsid w:val="079A69E8"/>
    <w:rsid w:val="07AD3016"/>
    <w:rsid w:val="07CA39D4"/>
    <w:rsid w:val="07CA7EB4"/>
    <w:rsid w:val="08305112"/>
    <w:rsid w:val="08597590"/>
    <w:rsid w:val="086D0CB1"/>
    <w:rsid w:val="08762F45"/>
    <w:rsid w:val="087710A3"/>
    <w:rsid w:val="08783E2A"/>
    <w:rsid w:val="0879213D"/>
    <w:rsid w:val="088E0549"/>
    <w:rsid w:val="08936B7F"/>
    <w:rsid w:val="08A151F4"/>
    <w:rsid w:val="08A454C4"/>
    <w:rsid w:val="08AF756C"/>
    <w:rsid w:val="08CF1B67"/>
    <w:rsid w:val="08E46C52"/>
    <w:rsid w:val="090827DB"/>
    <w:rsid w:val="092B4253"/>
    <w:rsid w:val="092D2D57"/>
    <w:rsid w:val="09855621"/>
    <w:rsid w:val="09C33115"/>
    <w:rsid w:val="09F47D86"/>
    <w:rsid w:val="09F813B1"/>
    <w:rsid w:val="0A01782E"/>
    <w:rsid w:val="0A062AE3"/>
    <w:rsid w:val="0A0B0DC3"/>
    <w:rsid w:val="0A0F08A4"/>
    <w:rsid w:val="0A29623B"/>
    <w:rsid w:val="0A634380"/>
    <w:rsid w:val="0A7437E0"/>
    <w:rsid w:val="0A7503A6"/>
    <w:rsid w:val="0A92133B"/>
    <w:rsid w:val="0A9D740F"/>
    <w:rsid w:val="0AC46BE7"/>
    <w:rsid w:val="0AF140E1"/>
    <w:rsid w:val="0AFC4036"/>
    <w:rsid w:val="0B1F44DF"/>
    <w:rsid w:val="0B4070CD"/>
    <w:rsid w:val="0B490256"/>
    <w:rsid w:val="0B575CC0"/>
    <w:rsid w:val="0B9444F8"/>
    <w:rsid w:val="0BAF0181"/>
    <w:rsid w:val="0BAF1AC8"/>
    <w:rsid w:val="0BC94FA5"/>
    <w:rsid w:val="0C0719C6"/>
    <w:rsid w:val="0C0E1814"/>
    <w:rsid w:val="0C1C35C4"/>
    <w:rsid w:val="0C753EA4"/>
    <w:rsid w:val="0C860D87"/>
    <w:rsid w:val="0C9D2EB8"/>
    <w:rsid w:val="0CA70D04"/>
    <w:rsid w:val="0CB25053"/>
    <w:rsid w:val="0CC50B7D"/>
    <w:rsid w:val="0CE62FDD"/>
    <w:rsid w:val="0D1F3A87"/>
    <w:rsid w:val="0D5017F1"/>
    <w:rsid w:val="0D5E5FEA"/>
    <w:rsid w:val="0DCB4A52"/>
    <w:rsid w:val="0DE0267F"/>
    <w:rsid w:val="0E4D4556"/>
    <w:rsid w:val="0E7F5EFB"/>
    <w:rsid w:val="0E811E04"/>
    <w:rsid w:val="0E85664D"/>
    <w:rsid w:val="0E9A2C64"/>
    <w:rsid w:val="0E9B6011"/>
    <w:rsid w:val="0EC007CE"/>
    <w:rsid w:val="0ECF2C0E"/>
    <w:rsid w:val="0F12751A"/>
    <w:rsid w:val="0F50673F"/>
    <w:rsid w:val="0F7B2AAF"/>
    <w:rsid w:val="0F7E4E07"/>
    <w:rsid w:val="0F960B01"/>
    <w:rsid w:val="0FD33220"/>
    <w:rsid w:val="0FDE0233"/>
    <w:rsid w:val="0FE461E1"/>
    <w:rsid w:val="10140B15"/>
    <w:rsid w:val="101957F6"/>
    <w:rsid w:val="101A6961"/>
    <w:rsid w:val="10457DE2"/>
    <w:rsid w:val="107409F0"/>
    <w:rsid w:val="107B72FA"/>
    <w:rsid w:val="108314D4"/>
    <w:rsid w:val="1084109F"/>
    <w:rsid w:val="10AF6705"/>
    <w:rsid w:val="10FB6B29"/>
    <w:rsid w:val="11145BA8"/>
    <w:rsid w:val="112500E6"/>
    <w:rsid w:val="112577FA"/>
    <w:rsid w:val="114D0719"/>
    <w:rsid w:val="11724BDC"/>
    <w:rsid w:val="117F0568"/>
    <w:rsid w:val="11974053"/>
    <w:rsid w:val="11CB2EDF"/>
    <w:rsid w:val="11DF6587"/>
    <w:rsid w:val="11E457C9"/>
    <w:rsid w:val="11E87B13"/>
    <w:rsid w:val="120144E2"/>
    <w:rsid w:val="1205421F"/>
    <w:rsid w:val="120A2D71"/>
    <w:rsid w:val="121344BB"/>
    <w:rsid w:val="121C2E0A"/>
    <w:rsid w:val="122E5870"/>
    <w:rsid w:val="124263E6"/>
    <w:rsid w:val="12476AE0"/>
    <w:rsid w:val="125763D6"/>
    <w:rsid w:val="12630FD9"/>
    <w:rsid w:val="12790226"/>
    <w:rsid w:val="12795956"/>
    <w:rsid w:val="127D4413"/>
    <w:rsid w:val="128C409B"/>
    <w:rsid w:val="128E73BE"/>
    <w:rsid w:val="12C6571C"/>
    <w:rsid w:val="12E139CA"/>
    <w:rsid w:val="12E34E3B"/>
    <w:rsid w:val="12E666D9"/>
    <w:rsid w:val="12FA1D33"/>
    <w:rsid w:val="12FA5C6B"/>
    <w:rsid w:val="13436371"/>
    <w:rsid w:val="136D7D68"/>
    <w:rsid w:val="13771893"/>
    <w:rsid w:val="13785AD3"/>
    <w:rsid w:val="138502A7"/>
    <w:rsid w:val="13B20965"/>
    <w:rsid w:val="13C14C6D"/>
    <w:rsid w:val="13CC152B"/>
    <w:rsid w:val="14270895"/>
    <w:rsid w:val="142C3420"/>
    <w:rsid w:val="143A160A"/>
    <w:rsid w:val="14644C77"/>
    <w:rsid w:val="147902F2"/>
    <w:rsid w:val="149462BD"/>
    <w:rsid w:val="14BC7527"/>
    <w:rsid w:val="14C06E71"/>
    <w:rsid w:val="14E342D5"/>
    <w:rsid w:val="14F14038"/>
    <w:rsid w:val="15300D39"/>
    <w:rsid w:val="15407606"/>
    <w:rsid w:val="15506DE8"/>
    <w:rsid w:val="1585042C"/>
    <w:rsid w:val="15936363"/>
    <w:rsid w:val="159706CC"/>
    <w:rsid w:val="15B14EA8"/>
    <w:rsid w:val="15BB2F51"/>
    <w:rsid w:val="15BC078D"/>
    <w:rsid w:val="15C2782F"/>
    <w:rsid w:val="15C758A4"/>
    <w:rsid w:val="15C75D2A"/>
    <w:rsid w:val="15EE13DB"/>
    <w:rsid w:val="15F63BB4"/>
    <w:rsid w:val="16046C68"/>
    <w:rsid w:val="160475A2"/>
    <w:rsid w:val="164C6E37"/>
    <w:rsid w:val="164F7B93"/>
    <w:rsid w:val="16571C5B"/>
    <w:rsid w:val="165A347B"/>
    <w:rsid w:val="16A039D6"/>
    <w:rsid w:val="16AE5A72"/>
    <w:rsid w:val="16C022E7"/>
    <w:rsid w:val="16DA28F9"/>
    <w:rsid w:val="16F8391E"/>
    <w:rsid w:val="17152DDB"/>
    <w:rsid w:val="172D1C8E"/>
    <w:rsid w:val="174168F9"/>
    <w:rsid w:val="17581553"/>
    <w:rsid w:val="17BA7210"/>
    <w:rsid w:val="17C508E0"/>
    <w:rsid w:val="17CE7E68"/>
    <w:rsid w:val="17CF0A07"/>
    <w:rsid w:val="180171C3"/>
    <w:rsid w:val="18071685"/>
    <w:rsid w:val="183422AC"/>
    <w:rsid w:val="1835334D"/>
    <w:rsid w:val="183A54FD"/>
    <w:rsid w:val="185E21C8"/>
    <w:rsid w:val="18652394"/>
    <w:rsid w:val="18654983"/>
    <w:rsid w:val="18761B77"/>
    <w:rsid w:val="187758D3"/>
    <w:rsid w:val="18797F4A"/>
    <w:rsid w:val="188034A7"/>
    <w:rsid w:val="189A558E"/>
    <w:rsid w:val="18C458B5"/>
    <w:rsid w:val="18D965B8"/>
    <w:rsid w:val="18EF2141"/>
    <w:rsid w:val="18FC5C3B"/>
    <w:rsid w:val="1902523F"/>
    <w:rsid w:val="19040133"/>
    <w:rsid w:val="19130463"/>
    <w:rsid w:val="195B4DF4"/>
    <w:rsid w:val="195F6696"/>
    <w:rsid w:val="19836A30"/>
    <w:rsid w:val="19874772"/>
    <w:rsid w:val="198F69DC"/>
    <w:rsid w:val="19CC43D4"/>
    <w:rsid w:val="19EF66CA"/>
    <w:rsid w:val="19FD4A34"/>
    <w:rsid w:val="1A0710BB"/>
    <w:rsid w:val="1A0F0505"/>
    <w:rsid w:val="1A105584"/>
    <w:rsid w:val="1A252036"/>
    <w:rsid w:val="1A271AB1"/>
    <w:rsid w:val="1A301BF0"/>
    <w:rsid w:val="1A3B17BB"/>
    <w:rsid w:val="1A3F4F6A"/>
    <w:rsid w:val="1A487EC9"/>
    <w:rsid w:val="1A632148"/>
    <w:rsid w:val="1A854445"/>
    <w:rsid w:val="1A9E2AC2"/>
    <w:rsid w:val="1ACF0C32"/>
    <w:rsid w:val="1AD20E9E"/>
    <w:rsid w:val="1AD53740"/>
    <w:rsid w:val="1AE50EB9"/>
    <w:rsid w:val="1B041676"/>
    <w:rsid w:val="1B065EF3"/>
    <w:rsid w:val="1B2E03AF"/>
    <w:rsid w:val="1B320C1F"/>
    <w:rsid w:val="1B4D422B"/>
    <w:rsid w:val="1B4E5D22"/>
    <w:rsid w:val="1B6273D6"/>
    <w:rsid w:val="1B634337"/>
    <w:rsid w:val="1B93433F"/>
    <w:rsid w:val="1B951F9E"/>
    <w:rsid w:val="1B970330"/>
    <w:rsid w:val="1BAF75E7"/>
    <w:rsid w:val="1BB2715E"/>
    <w:rsid w:val="1BE75481"/>
    <w:rsid w:val="1C16002F"/>
    <w:rsid w:val="1C370FAB"/>
    <w:rsid w:val="1C534C66"/>
    <w:rsid w:val="1C905357"/>
    <w:rsid w:val="1C913B5A"/>
    <w:rsid w:val="1C934526"/>
    <w:rsid w:val="1C9D2F9C"/>
    <w:rsid w:val="1CFA525B"/>
    <w:rsid w:val="1CFB77E2"/>
    <w:rsid w:val="1D334100"/>
    <w:rsid w:val="1D382AB8"/>
    <w:rsid w:val="1D3940E1"/>
    <w:rsid w:val="1D4B5F27"/>
    <w:rsid w:val="1D502E45"/>
    <w:rsid w:val="1D5C34DC"/>
    <w:rsid w:val="1D610308"/>
    <w:rsid w:val="1D6F08F2"/>
    <w:rsid w:val="1D7F6EA4"/>
    <w:rsid w:val="1DA925DA"/>
    <w:rsid w:val="1DB13FF9"/>
    <w:rsid w:val="1DC660D7"/>
    <w:rsid w:val="1DCF0496"/>
    <w:rsid w:val="1DE44895"/>
    <w:rsid w:val="1DF61EC7"/>
    <w:rsid w:val="1DFD5B66"/>
    <w:rsid w:val="1DFE6FCD"/>
    <w:rsid w:val="1E261FB2"/>
    <w:rsid w:val="1E457849"/>
    <w:rsid w:val="1EA04E56"/>
    <w:rsid w:val="1EA71ADF"/>
    <w:rsid w:val="1EBE698E"/>
    <w:rsid w:val="1EFF1BCB"/>
    <w:rsid w:val="1F4B6FFA"/>
    <w:rsid w:val="1F5C115C"/>
    <w:rsid w:val="1F6114E4"/>
    <w:rsid w:val="1FA5701B"/>
    <w:rsid w:val="20044D65"/>
    <w:rsid w:val="20255756"/>
    <w:rsid w:val="209A7FA8"/>
    <w:rsid w:val="20AB2676"/>
    <w:rsid w:val="20AC2D33"/>
    <w:rsid w:val="20B94831"/>
    <w:rsid w:val="20F46465"/>
    <w:rsid w:val="2105239D"/>
    <w:rsid w:val="211340F1"/>
    <w:rsid w:val="21765AF1"/>
    <w:rsid w:val="21AA36F4"/>
    <w:rsid w:val="21AA6781"/>
    <w:rsid w:val="21B7496D"/>
    <w:rsid w:val="21B86EAD"/>
    <w:rsid w:val="21D977FF"/>
    <w:rsid w:val="21E46748"/>
    <w:rsid w:val="21F14257"/>
    <w:rsid w:val="21FE1339"/>
    <w:rsid w:val="221E4713"/>
    <w:rsid w:val="22440EC2"/>
    <w:rsid w:val="225F5871"/>
    <w:rsid w:val="226E2A7E"/>
    <w:rsid w:val="22914B63"/>
    <w:rsid w:val="22A80799"/>
    <w:rsid w:val="22B54183"/>
    <w:rsid w:val="22C06BE9"/>
    <w:rsid w:val="22D714BB"/>
    <w:rsid w:val="22DD0EA7"/>
    <w:rsid w:val="22E56822"/>
    <w:rsid w:val="231177D2"/>
    <w:rsid w:val="232368EB"/>
    <w:rsid w:val="234731C4"/>
    <w:rsid w:val="23645B24"/>
    <w:rsid w:val="2392443F"/>
    <w:rsid w:val="2398619C"/>
    <w:rsid w:val="23A2169C"/>
    <w:rsid w:val="23C652BD"/>
    <w:rsid w:val="23CE2F9E"/>
    <w:rsid w:val="23EB6B37"/>
    <w:rsid w:val="240C7A4B"/>
    <w:rsid w:val="24164D8A"/>
    <w:rsid w:val="241A0B63"/>
    <w:rsid w:val="24373B35"/>
    <w:rsid w:val="24376069"/>
    <w:rsid w:val="24510671"/>
    <w:rsid w:val="24575E8C"/>
    <w:rsid w:val="24671846"/>
    <w:rsid w:val="246F639E"/>
    <w:rsid w:val="247753E3"/>
    <w:rsid w:val="248A3369"/>
    <w:rsid w:val="24A15691"/>
    <w:rsid w:val="24A54D1C"/>
    <w:rsid w:val="24B50833"/>
    <w:rsid w:val="24B77205"/>
    <w:rsid w:val="24F560BD"/>
    <w:rsid w:val="24FC7A51"/>
    <w:rsid w:val="2512246F"/>
    <w:rsid w:val="253B1FD7"/>
    <w:rsid w:val="259960B2"/>
    <w:rsid w:val="25AA562A"/>
    <w:rsid w:val="25BD539D"/>
    <w:rsid w:val="26554435"/>
    <w:rsid w:val="265E10A5"/>
    <w:rsid w:val="265F1F0F"/>
    <w:rsid w:val="2683792E"/>
    <w:rsid w:val="26A74B7D"/>
    <w:rsid w:val="26A83982"/>
    <w:rsid w:val="26AF6D66"/>
    <w:rsid w:val="26B97C1E"/>
    <w:rsid w:val="26E83835"/>
    <w:rsid w:val="26F33300"/>
    <w:rsid w:val="26FA7C4E"/>
    <w:rsid w:val="270B6E00"/>
    <w:rsid w:val="27157808"/>
    <w:rsid w:val="272C3E98"/>
    <w:rsid w:val="27473175"/>
    <w:rsid w:val="2755194C"/>
    <w:rsid w:val="27A2044E"/>
    <w:rsid w:val="27CB2F61"/>
    <w:rsid w:val="280276BA"/>
    <w:rsid w:val="28172C54"/>
    <w:rsid w:val="28283A16"/>
    <w:rsid w:val="282F4953"/>
    <w:rsid w:val="283A1462"/>
    <w:rsid w:val="28495E70"/>
    <w:rsid w:val="28791141"/>
    <w:rsid w:val="28A21733"/>
    <w:rsid w:val="28A94AF8"/>
    <w:rsid w:val="28C71A7B"/>
    <w:rsid w:val="28D0023C"/>
    <w:rsid w:val="28D93910"/>
    <w:rsid w:val="28ED7019"/>
    <w:rsid w:val="290B31FE"/>
    <w:rsid w:val="290B4415"/>
    <w:rsid w:val="292410E6"/>
    <w:rsid w:val="29296498"/>
    <w:rsid w:val="294A5DDF"/>
    <w:rsid w:val="294F33BC"/>
    <w:rsid w:val="297E7504"/>
    <w:rsid w:val="29A2677D"/>
    <w:rsid w:val="29D82EAF"/>
    <w:rsid w:val="2A1505B9"/>
    <w:rsid w:val="2A1944BF"/>
    <w:rsid w:val="2A291D6A"/>
    <w:rsid w:val="2A3873C3"/>
    <w:rsid w:val="2A5E7E09"/>
    <w:rsid w:val="2A830F86"/>
    <w:rsid w:val="2A8E3849"/>
    <w:rsid w:val="2A903DBE"/>
    <w:rsid w:val="2ACC3F6C"/>
    <w:rsid w:val="2AF558AC"/>
    <w:rsid w:val="2B2623E0"/>
    <w:rsid w:val="2B5D1C83"/>
    <w:rsid w:val="2B6E5B57"/>
    <w:rsid w:val="2B870CBA"/>
    <w:rsid w:val="2BCA6781"/>
    <w:rsid w:val="2BDF0E22"/>
    <w:rsid w:val="2BE10580"/>
    <w:rsid w:val="2BFF50D9"/>
    <w:rsid w:val="2C1E3D3E"/>
    <w:rsid w:val="2C1E7B68"/>
    <w:rsid w:val="2C8035DE"/>
    <w:rsid w:val="2C894183"/>
    <w:rsid w:val="2CA82629"/>
    <w:rsid w:val="2CB0514D"/>
    <w:rsid w:val="2CD45E56"/>
    <w:rsid w:val="2CD75660"/>
    <w:rsid w:val="2CDE6A41"/>
    <w:rsid w:val="2CE11F94"/>
    <w:rsid w:val="2CF32EC4"/>
    <w:rsid w:val="2CF556E9"/>
    <w:rsid w:val="2D606E87"/>
    <w:rsid w:val="2D711FE2"/>
    <w:rsid w:val="2D8172D3"/>
    <w:rsid w:val="2D864C95"/>
    <w:rsid w:val="2DBA1024"/>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F0309"/>
    <w:rsid w:val="2FAA0D63"/>
    <w:rsid w:val="2FB82888"/>
    <w:rsid w:val="2FC541E2"/>
    <w:rsid w:val="2FD949FD"/>
    <w:rsid w:val="2FE72694"/>
    <w:rsid w:val="30011D3D"/>
    <w:rsid w:val="300521ED"/>
    <w:rsid w:val="30154AF2"/>
    <w:rsid w:val="3023662D"/>
    <w:rsid w:val="303653FA"/>
    <w:rsid w:val="303F2C90"/>
    <w:rsid w:val="30606198"/>
    <w:rsid w:val="307B4A10"/>
    <w:rsid w:val="3099078E"/>
    <w:rsid w:val="30D944F4"/>
    <w:rsid w:val="30E047A5"/>
    <w:rsid w:val="31024649"/>
    <w:rsid w:val="311B395F"/>
    <w:rsid w:val="31204C7F"/>
    <w:rsid w:val="312E6B29"/>
    <w:rsid w:val="314A47BF"/>
    <w:rsid w:val="31744E96"/>
    <w:rsid w:val="317B0117"/>
    <w:rsid w:val="31996A45"/>
    <w:rsid w:val="31B138FC"/>
    <w:rsid w:val="31B75BA7"/>
    <w:rsid w:val="31C41087"/>
    <w:rsid w:val="31C94431"/>
    <w:rsid w:val="31CD3B21"/>
    <w:rsid w:val="31D60039"/>
    <w:rsid w:val="32236F6D"/>
    <w:rsid w:val="323A2BEF"/>
    <w:rsid w:val="32403BEF"/>
    <w:rsid w:val="3251324A"/>
    <w:rsid w:val="325B0030"/>
    <w:rsid w:val="3276166B"/>
    <w:rsid w:val="32C36187"/>
    <w:rsid w:val="32E21235"/>
    <w:rsid w:val="32F43E03"/>
    <w:rsid w:val="32FA7B25"/>
    <w:rsid w:val="33057707"/>
    <w:rsid w:val="3316579F"/>
    <w:rsid w:val="331E3055"/>
    <w:rsid w:val="335F3E5D"/>
    <w:rsid w:val="336E03ED"/>
    <w:rsid w:val="3385158C"/>
    <w:rsid w:val="33BF3439"/>
    <w:rsid w:val="34390D11"/>
    <w:rsid w:val="343C4C08"/>
    <w:rsid w:val="344F25B9"/>
    <w:rsid w:val="34646816"/>
    <w:rsid w:val="346C49A5"/>
    <w:rsid w:val="346E0772"/>
    <w:rsid w:val="34763798"/>
    <w:rsid w:val="347D4247"/>
    <w:rsid w:val="348A7786"/>
    <w:rsid w:val="34C651DF"/>
    <w:rsid w:val="34CA462D"/>
    <w:rsid w:val="34DE0FA7"/>
    <w:rsid w:val="34ED6E06"/>
    <w:rsid w:val="35155DA9"/>
    <w:rsid w:val="35174C13"/>
    <w:rsid w:val="35653529"/>
    <w:rsid w:val="357C0AAC"/>
    <w:rsid w:val="3585491C"/>
    <w:rsid w:val="359077FD"/>
    <w:rsid w:val="35B50461"/>
    <w:rsid w:val="35CE7AC4"/>
    <w:rsid w:val="35D3595B"/>
    <w:rsid w:val="35DE7086"/>
    <w:rsid w:val="36354A02"/>
    <w:rsid w:val="363B55C2"/>
    <w:rsid w:val="366215F3"/>
    <w:rsid w:val="36931946"/>
    <w:rsid w:val="36B7343A"/>
    <w:rsid w:val="36B9701C"/>
    <w:rsid w:val="36CA265A"/>
    <w:rsid w:val="36F80FC5"/>
    <w:rsid w:val="3716489A"/>
    <w:rsid w:val="373935F1"/>
    <w:rsid w:val="373A012E"/>
    <w:rsid w:val="37492C0F"/>
    <w:rsid w:val="3763067A"/>
    <w:rsid w:val="37645DF1"/>
    <w:rsid w:val="3767605D"/>
    <w:rsid w:val="3768578B"/>
    <w:rsid w:val="37A97B52"/>
    <w:rsid w:val="37C964D6"/>
    <w:rsid w:val="38223257"/>
    <w:rsid w:val="384012FA"/>
    <w:rsid w:val="38441B00"/>
    <w:rsid w:val="38455991"/>
    <w:rsid w:val="384E0CC7"/>
    <w:rsid w:val="38710CE7"/>
    <w:rsid w:val="3872203E"/>
    <w:rsid w:val="38830FC1"/>
    <w:rsid w:val="38847E22"/>
    <w:rsid w:val="3891486E"/>
    <w:rsid w:val="389B2D49"/>
    <w:rsid w:val="38AA1816"/>
    <w:rsid w:val="38C418F1"/>
    <w:rsid w:val="38CB780A"/>
    <w:rsid w:val="38D12DF1"/>
    <w:rsid w:val="39211573"/>
    <w:rsid w:val="392862AB"/>
    <w:rsid w:val="39360E07"/>
    <w:rsid w:val="393C635E"/>
    <w:rsid w:val="393E7D16"/>
    <w:rsid w:val="39461906"/>
    <w:rsid w:val="39491FA3"/>
    <w:rsid w:val="3976683A"/>
    <w:rsid w:val="39874499"/>
    <w:rsid w:val="398954CA"/>
    <w:rsid w:val="39D84168"/>
    <w:rsid w:val="39DC7DDA"/>
    <w:rsid w:val="39DF47BF"/>
    <w:rsid w:val="39E3486B"/>
    <w:rsid w:val="39E46D8A"/>
    <w:rsid w:val="39E91696"/>
    <w:rsid w:val="3A0A43EA"/>
    <w:rsid w:val="3A2A2564"/>
    <w:rsid w:val="3A7D1CB1"/>
    <w:rsid w:val="3A986DE4"/>
    <w:rsid w:val="3AB5581F"/>
    <w:rsid w:val="3AB74334"/>
    <w:rsid w:val="3AC917B8"/>
    <w:rsid w:val="3ADA27EE"/>
    <w:rsid w:val="3AF8100D"/>
    <w:rsid w:val="3AFF2227"/>
    <w:rsid w:val="3B00137D"/>
    <w:rsid w:val="3B0975C7"/>
    <w:rsid w:val="3B277FB3"/>
    <w:rsid w:val="3B304AA6"/>
    <w:rsid w:val="3B5E78FD"/>
    <w:rsid w:val="3BAF6719"/>
    <w:rsid w:val="3BB130CA"/>
    <w:rsid w:val="3BBC0D72"/>
    <w:rsid w:val="3BBD3C8A"/>
    <w:rsid w:val="3BE22854"/>
    <w:rsid w:val="3BEF7BE2"/>
    <w:rsid w:val="3C085976"/>
    <w:rsid w:val="3C112B8F"/>
    <w:rsid w:val="3C1812C4"/>
    <w:rsid w:val="3C1C3AAD"/>
    <w:rsid w:val="3C4334E1"/>
    <w:rsid w:val="3C571632"/>
    <w:rsid w:val="3C8333A8"/>
    <w:rsid w:val="3C8D2497"/>
    <w:rsid w:val="3C9D6126"/>
    <w:rsid w:val="3CAA7AB9"/>
    <w:rsid w:val="3CB46D7D"/>
    <w:rsid w:val="3CC42957"/>
    <w:rsid w:val="3CE07D91"/>
    <w:rsid w:val="3CEB191C"/>
    <w:rsid w:val="3CF85F4B"/>
    <w:rsid w:val="3D001FC2"/>
    <w:rsid w:val="3D091ECC"/>
    <w:rsid w:val="3D49776F"/>
    <w:rsid w:val="3D762679"/>
    <w:rsid w:val="3DA14F49"/>
    <w:rsid w:val="3DA54FFE"/>
    <w:rsid w:val="3DDC47DD"/>
    <w:rsid w:val="3DE418E4"/>
    <w:rsid w:val="3E0E6961"/>
    <w:rsid w:val="3E151075"/>
    <w:rsid w:val="3E3A2826"/>
    <w:rsid w:val="3E466794"/>
    <w:rsid w:val="3E9E2019"/>
    <w:rsid w:val="3EA45E3B"/>
    <w:rsid w:val="3EAB0806"/>
    <w:rsid w:val="3EB35218"/>
    <w:rsid w:val="3EB96BF2"/>
    <w:rsid w:val="3EC42F33"/>
    <w:rsid w:val="3EC62ED8"/>
    <w:rsid w:val="3EE22ECD"/>
    <w:rsid w:val="3F0E5544"/>
    <w:rsid w:val="3F110796"/>
    <w:rsid w:val="3F1E316D"/>
    <w:rsid w:val="3F233908"/>
    <w:rsid w:val="3F3E6D34"/>
    <w:rsid w:val="3F404C19"/>
    <w:rsid w:val="3F964A5E"/>
    <w:rsid w:val="3FDF0847"/>
    <w:rsid w:val="3FF34E6B"/>
    <w:rsid w:val="3FFC00A9"/>
    <w:rsid w:val="401D5534"/>
    <w:rsid w:val="4027515D"/>
    <w:rsid w:val="403615BA"/>
    <w:rsid w:val="40472C8A"/>
    <w:rsid w:val="40677834"/>
    <w:rsid w:val="409002BE"/>
    <w:rsid w:val="40A56901"/>
    <w:rsid w:val="40AE2E05"/>
    <w:rsid w:val="40B0700A"/>
    <w:rsid w:val="40B60AE7"/>
    <w:rsid w:val="40BD0284"/>
    <w:rsid w:val="40D50BB7"/>
    <w:rsid w:val="40DE2639"/>
    <w:rsid w:val="40E37FE4"/>
    <w:rsid w:val="40FA4F23"/>
    <w:rsid w:val="410D4A6F"/>
    <w:rsid w:val="412929DD"/>
    <w:rsid w:val="414F176A"/>
    <w:rsid w:val="417534DC"/>
    <w:rsid w:val="417C08FF"/>
    <w:rsid w:val="41A32A8B"/>
    <w:rsid w:val="41BC6E1C"/>
    <w:rsid w:val="41C51B37"/>
    <w:rsid w:val="41C76E8D"/>
    <w:rsid w:val="41E260C6"/>
    <w:rsid w:val="41EB5CF0"/>
    <w:rsid w:val="420339B6"/>
    <w:rsid w:val="42130FF8"/>
    <w:rsid w:val="425124B4"/>
    <w:rsid w:val="42521512"/>
    <w:rsid w:val="426A1806"/>
    <w:rsid w:val="428241A6"/>
    <w:rsid w:val="4282514C"/>
    <w:rsid w:val="429C09DF"/>
    <w:rsid w:val="42EC363D"/>
    <w:rsid w:val="4308793C"/>
    <w:rsid w:val="430B6664"/>
    <w:rsid w:val="43383A56"/>
    <w:rsid w:val="436276F0"/>
    <w:rsid w:val="4365270B"/>
    <w:rsid w:val="43877EEE"/>
    <w:rsid w:val="438B42ED"/>
    <w:rsid w:val="43BC64CA"/>
    <w:rsid w:val="43C4733C"/>
    <w:rsid w:val="43D459F6"/>
    <w:rsid w:val="4413382E"/>
    <w:rsid w:val="44272076"/>
    <w:rsid w:val="442D14B0"/>
    <w:rsid w:val="444934E1"/>
    <w:rsid w:val="4453043A"/>
    <w:rsid w:val="445311B3"/>
    <w:rsid w:val="44703ED1"/>
    <w:rsid w:val="44727C49"/>
    <w:rsid w:val="44791B42"/>
    <w:rsid w:val="44AC2DF1"/>
    <w:rsid w:val="44D71D60"/>
    <w:rsid w:val="452138AB"/>
    <w:rsid w:val="45324256"/>
    <w:rsid w:val="456B528A"/>
    <w:rsid w:val="456F29F2"/>
    <w:rsid w:val="45712B7F"/>
    <w:rsid w:val="45964BF4"/>
    <w:rsid w:val="45AE1F25"/>
    <w:rsid w:val="45C73B84"/>
    <w:rsid w:val="45D76036"/>
    <w:rsid w:val="45EC35A3"/>
    <w:rsid w:val="45EF17A0"/>
    <w:rsid w:val="460961FA"/>
    <w:rsid w:val="463C02F0"/>
    <w:rsid w:val="465804A0"/>
    <w:rsid w:val="466D090F"/>
    <w:rsid w:val="469A5878"/>
    <w:rsid w:val="46C77A05"/>
    <w:rsid w:val="46E26C55"/>
    <w:rsid w:val="472646CF"/>
    <w:rsid w:val="47304913"/>
    <w:rsid w:val="4737336D"/>
    <w:rsid w:val="473A7631"/>
    <w:rsid w:val="4761447E"/>
    <w:rsid w:val="47D94311"/>
    <w:rsid w:val="47E96C73"/>
    <w:rsid w:val="48003292"/>
    <w:rsid w:val="48040335"/>
    <w:rsid w:val="48257ED7"/>
    <w:rsid w:val="4847708E"/>
    <w:rsid w:val="48AE6010"/>
    <w:rsid w:val="48C51FA3"/>
    <w:rsid w:val="48CE6075"/>
    <w:rsid w:val="48D40D25"/>
    <w:rsid w:val="48E81ED1"/>
    <w:rsid w:val="48EC07C9"/>
    <w:rsid w:val="48ED0E66"/>
    <w:rsid w:val="48EF5A08"/>
    <w:rsid w:val="48F76338"/>
    <w:rsid w:val="492377FE"/>
    <w:rsid w:val="495C4BCE"/>
    <w:rsid w:val="495D45DA"/>
    <w:rsid w:val="49614CB2"/>
    <w:rsid w:val="496A339B"/>
    <w:rsid w:val="49757C4E"/>
    <w:rsid w:val="49BC5C94"/>
    <w:rsid w:val="49CD3818"/>
    <w:rsid w:val="49E37EFF"/>
    <w:rsid w:val="49E85953"/>
    <w:rsid w:val="4A2A6799"/>
    <w:rsid w:val="4A2F6137"/>
    <w:rsid w:val="4AAC40D4"/>
    <w:rsid w:val="4AB443EC"/>
    <w:rsid w:val="4ADC45CA"/>
    <w:rsid w:val="4AFD3548"/>
    <w:rsid w:val="4B164FEF"/>
    <w:rsid w:val="4B2E2521"/>
    <w:rsid w:val="4B30676D"/>
    <w:rsid w:val="4B332309"/>
    <w:rsid w:val="4B332456"/>
    <w:rsid w:val="4B77469D"/>
    <w:rsid w:val="4B90272D"/>
    <w:rsid w:val="4BDD2482"/>
    <w:rsid w:val="4BE36EAB"/>
    <w:rsid w:val="4BEA4D45"/>
    <w:rsid w:val="4BFA4A9C"/>
    <w:rsid w:val="4C0A678D"/>
    <w:rsid w:val="4C1A6926"/>
    <w:rsid w:val="4C443413"/>
    <w:rsid w:val="4C687B84"/>
    <w:rsid w:val="4C782B26"/>
    <w:rsid w:val="4C7958ED"/>
    <w:rsid w:val="4C9D4173"/>
    <w:rsid w:val="4CD16F48"/>
    <w:rsid w:val="4CDD55E8"/>
    <w:rsid w:val="4D173281"/>
    <w:rsid w:val="4D21399A"/>
    <w:rsid w:val="4D5D4172"/>
    <w:rsid w:val="4D637AFB"/>
    <w:rsid w:val="4D8F61DA"/>
    <w:rsid w:val="4DC67533"/>
    <w:rsid w:val="4DE5034C"/>
    <w:rsid w:val="4DF202F2"/>
    <w:rsid w:val="4DF5144A"/>
    <w:rsid w:val="4E234CEB"/>
    <w:rsid w:val="4E2A2C88"/>
    <w:rsid w:val="4E321782"/>
    <w:rsid w:val="4E442405"/>
    <w:rsid w:val="4E4432EE"/>
    <w:rsid w:val="4E483615"/>
    <w:rsid w:val="4E503E0A"/>
    <w:rsid w:val="4E537E4E"/>
    <w:rsid w:val="4E622ED5"/>
    <w:rsid w:val="4E740C21"/>
    <w:rsid w:val="4E8A3F2B"/>
    <w:rsid w:val="4E8B1138"/>
    <w:rsid w:val="4E8E4E4D"/>
    <w:rsid w:val="4EA65D8C"/>
    <w:rsid w:val="4F0B4C4C"/>
    <w:rsid w:val="4F386430"/>
    <w:rsid w:val="4F3D5499"/>
    <w:rsid w:val="4F6C3186"/>
    <w:rsid w:val="4F964791"/>
    <w:rsid w:val="4FB035C2"/>
    <w:rsid w:val="4FBF2665"/>
    <w:rsid w:val="4FD468D6"/>
    <w:rsid w:val="4FDD6662"/>
    <w:rsid w:val="4FDF6FFD"/>
    <w:rsid w:val="50002208"/>
    <w:rsid w:val="50480F73"/>
    <w:rsid w:val="508A0EF4"/>
    <w:rsid w:val="509D2BA9"/>
    <w:rsid w:val="50A31DAA"/>
    <w:rsid w:val="50AA6EA1"/>
    <w:rsid w:val="50D642BC"/>
    <w:rsid w:val="50E46833"/>
    <w:rsid w:val="51103E6D"/>
    <w:rsid w:val="511868E5"/>
    <w:rsid w:val="511D2CEB"/>
    <w:rsid w:val="511E6F65"/>
    <w:rsid w:val="51451DAC"/>
    <w:rsid w:val="515E44AB"/>
    <w:rsid w:val="518B1859"/>
    <w:rsid w:val="518F5CEF"/>
    <w:rsid w:val="51956EB2"/>
    <w:rsid w:val="52036E2C"/>
    <w:rsid w:val="52840BE9"/>
    <w:rsid w:val="52863E09"/>
    <w:rsid w:val="528E5D4C"/>
    <w:rsid w:val="52AD009F"/>
    <w:rsid w:val="52CD198C"/>
    <w:rsid w:val="52D91925"/>
    <w:rsid w:val="5310521A"/>
    <w:rsid w:val="531E1530"/>
    <w:rsid w:val="53276330"/>
    <w:rsid w:val="533B3DB4"/>
    <w:rsid w:val="53494F10"/>
    <w:rsid w:val="53642C72"/>
    <w:rsid w:val="537C63CB"/>
    <w:rsid w:val="53892193"/>
    <w:rsid w:val="538F2791"/>
    <w:rsid w:val="53B46970"/>
    <w:rsid w:val="53BD38E8"/>
    <w:rsid w:val="53C71DE6"/>
    <w:rsid w:val="53E5453E"/>
    <w:rsid w:val="53EC7845"/>
    <w:rsid w:val="53F91530"/>
    <w:rsid w:val="540F007F"/>
    <w:rsid w:val="541E020C"/>
    <w:rsid w:val="542D32F6"/>
    <w:rsid w:val="543C19CD"/>
    <w:rsid w:val="54470AEF"/>
    <w:rsid w:val="5455279C"/>
    <w:rsid w:val="54A11E85"/>
    <w:rsid w:val="54DC0BF7"/>
    <w:rsid w:val="54EC27FC"/>
    <w:rsid w:val="55151799"/>
    <w:rsid w:val="552C6B59"/>
    <w:rsid w:val="55334796"/>
    <w:rsid w:val="553C29A5"/>
    <w:rsid w:val="55461010"/>
    <w:rsid w:val="5554579A"/>
    <w:rsid w:val="55555360"/>
    <w:rsid w:val="555667CB"/>
    <w:rsid w:val="556E61F4"/>
    <w:rsid w:val="558E0800"/>
    <w:rsid w:val="559563DC"/>
    <w:rsid w:val="55B65487"/>
    <w:rsid w:val="55BB19C2"/>
    <w:rsid w:val="55DA73FC"/>
    <w:rsid w:val="55DD27D3"/>
    <w:rsid w:val="55E566C9"/>
    <w:rsid w:val="55F144D1"/>
    <w:rsid w:val="55F179D2"/>
    <w:rsid w:val="55F6744C"/>
    <w:rsid w:val="56242755"/>
    <w:rsid w:val="563306BF"/>
    <w:rsid w:val="564C65D6"/>
    <w:rsid w:val="567C5151"/>
    <w:rsid w:val="56AE7DEE"/>
    <w:rsid w:val="56C03D53"/>
    <w:rsid w:val="56F2753F"/>
    <w:rsid w:val="570566FB"/>
    <w:rsid w:val="570B6A40"/>
    <w:rsid w:val="571A27C3"/>
    <w:rsid w:val="57296BE9"/>
    <w:rsid w:val="57297081"/>
    <w:rsid w:val="57375EB4"/>
    <w:rsid w:val="577757DC"/>
    <w:rsid w:val="577E7E19"/>
    <w:rsid w:val="579A73D2"/>
    <w:rsid w:val="57AE5B64"/>
    <w:rsid w:val="57B35510"/>
    <w:rsid w:val="57D65179"/>
    <w:rsid w:val="57DB619D"/>
    <w:rsid w:val="57E66133"/>
    <w:rsid w:val="580D593B"/>
    <w:rsid w:val="584265F6"/>
    <w:rsid w:val="5857694E"/>
    <w:rsid w:val="58607961"/>
    <w:rsid w:val="58662719"/>
    <w:rsid w:val="586E4C5D"/>
    <w:rsid w:val="58804C86"/>
    <w:rsid w:val="58931DA3"/>
    <w:rsid w:val="589C7525"/>
    <w:rsid w:val="589D6174"/>
    <w:rsid w:val="58A34E88"/>
    <w:rsid w:val="58C6761B"/>
    <w:rsid w:val="58E732CE"/>
    <w:rsid w:val="590A0C42"/>
    <w:rsid w:val="59207079"/>
    <w:rsid w:val="5922524A"/>
    <w:rsid w:val="59334445"/>
    <w:rsid w:val="594F36F4"/>
    <w:rsid w:val="596A274E"/>
    <w:rsid w:val="59D2561F"/>
    <w:rsid w:val="59F2455A"/>
    <w:rsid w:val="59FF616A"/>
    <w:rsid w:val="5A0E538E"/>
    <w:rsid w:val="5A116B68"/>
    <w:rsid w:val="5A184FD2"/>
    <w:rsid w:val="5A2142B1"/>
    <w:rsid w:val="5A2E299E"/>
    <w:rsid w:val="5A3006FB"/>
    <w:rsid w:val="5A7077F1"/>
    <w:rsid w:val="5A7D75C4"/>
    <w:rsid w:val="5A9970A6"/>
    <w:rsid w:val="5AA64C63"/>
    <w:rsid w:val="5AAA0B71"/>
    <w:rsid w:val="5AC20F24"/>
    <w:rsid w:val="5AC26CAF"/>
    <w:rsid w:val="5ACB0ECD"/>
    <w:rsid w:val="5B075EB5"/>
    <w:rsid w:val="5B3100CF"/>
    <w:rsid w:val="5B426C5C"/>
    <w:rsid w:val="5B526BB0"/>
    <w:rsid w:val="5B592543"/>
    <w:rsid w:val="5B625A37"/>
    <w:rsid w:val="5B7C09B0"/>
    <w:rsid w:val="5B9517C9"/>
    <w:rsid w:val="5BD44ADC"/>
    <w:rsid w:val="5BD90F55"/>
    <w:rsid w:val="5BDB318E"/>
    <w:rsid w:val="5BE35510"/>
    <w:rsid w:val="5BF45ECB"/>
    <w:rsid w:val="5C2B7745"/>
    <w:rsid w:val="5C473B62"/>
    <w:rsid w:val="5C603412"/>
    <w:rsid w:val="5C653304"/>
    <w:rsid w:val="5C69535E"/>
    <w:rsid w:val="5C7850AB"/>
    <w:rsid w:val="5C8B195F"/>
    <w:rsid w:val="5CDB3A5A"/>
    <w:rsid w:val="5D5C3842"/>
    <w:rsid w:val="5D680CAD"/>
    <w:rsid w:val="5D78495C"/>
    <w:rsid w:val="5D955D37"/>
    <w:rsid w:val="5DAA4EBD"/>
    <w:rsid w:val="5DAF3E02"/>
    <w:rsid w:val="5DD966DB"/>
    <w:rsid w:val="5E1300B4"/>
    <w:rsid w:val="5E144D1A"/>
    <w:rsid w:val="5E1E66DC"/>
    <w:rsid w:val="5E2116B1"/>
    <w:rsid w:val="5E2E02E7"/>
    <w:rsid w:val="5E316389"/>
    <w:rsid w:val="5E710D3D"/>
    <w:rsid w:val="5E9B5065"/>
    <w:rsid w:val="5EB230A3"/>
    <w:rsid w:val="5EC66B89"/>
    <w:rsid w:val="5ED73667"/>
    <w:rsid w:val="5EF03EE7"/>
    <w:rsid w:val="5EF22C45"/>
    <w:rsid w:val="5F0C0276"/>
    <w:rsid w:val="5F176484"/>
    <w:rsid w:val="5F245A85"/>
    <w:rsid w:val="5F4C2BBE"/>
    <w:rsid w:val="5F5A5A71"/>
    <w:rsid w:val="5F8267D5"/>
    <w:rsid w:val="5F862A71"/>
    <w:rsid w:val="5F920D48"/>
    <w:rsid w:val="5FD00F43"/>
    <w:rsid w:val="5FE62886"/>
    <w:rsid w:val="600D3BA7"/>
    <w:rsid w:val="602746BB"/>
    <w:rsid w:val="602D0E0A"/>
    <w:rsid w:val="606067A7"/>
    <w:rsid w:val="6078456A"/>
    <w:rsid w:val="60CE4ABA"/>
    <w:rsid w:val="61115D96"/>
    <w:rsid w:val="613C7BA6"/>
    <w:rsid w:val="6142443C"/>
    <w:rsid w:val="614C01E1"/>
    <w:rsid w:val="616C2F18"/>
    <w:rsid w:val="616E185C"/>
    <w:rsid w:val="617A708C"/>
    <w:rsid w:val="61A6243F"/>
    <w:rsid w:val="61AB4D13"/>
    <w:rsid w:val="61C70674"/>
    <w:rsid w:val="61E16260"/>
    <w:rsid w:val="6216207E"/>
    <w:rsid w:val="622E1509"/>
    <w:rsid w:val="623023F7"/>
    <w:rsid w:val="62886207"/>
    <w:rsid w:val="62932805"/>
    <w:rsid w:val="62950184"/>
    <w:rsid w:val="62982C92"/>
    <w:rsid w:val="629B6165"/>
    <w:rsid w:val="62A26DE9"/>
    <w:rsid w:val="62B61157"/>
    <w:rsid w:val="62B967CA"/>
    <w:rsid w:val="62EC4114"/>
    <w:rsid w:val="62F72F9A"/>
    <w:rsid w:val="631956C7"/>
    <w:rsid w:val="63197A16"/>
    <w:rsid w:val="63314FBD"/>
    <w:rsid w:val="633F3B35"/>
    <w:rsid w:val="634A2F51"/>
    <w:rsid w:val="635B169D"/>
    <w:rsid w:val="6387782D"/>
    <w:rsid w:val="638B22A8"/>
    <w:rsid w:val="63906F59"/>
    <w:rsid w:val="6398540F"/>
    <w:rsid w:val="63A8751B"/>
    <w:rsid w:val="63EC6280"/>
    <w:rsid w:val="64213B12"/>
    <w:rsid w:val="64510481"/>
    <w:rsid w:val="64562295"/>
    <w:rsid w:val="649441CA"/>
    <w:rsid w:val="649E0E8B"/>
    <w:rsid w:val="64AE4AAC"/>
    <w:rsid w:val="64B8505D"/>
    <w:rsid w:val="64C659C6"/>
    <w:rsid w:val="64EE3F51"/>
    <w:rsid w:val="64EF71C0"/>
    <w:rsid w:val="652074D7"/>
    <w:rsid w:val="65586FB3"/>
    <w:rsid w:val="65C3328E"/>
    <w:rsid w:val="65FE3744"/>
    <w:rsid w:val="665230E1"/>
    <w:rsid w:val="6679468F"/>
    <w:rsid w:val="66931426"/>
    <w:rsid w:val="66B52AA1"/>
    <w:rsid w:val="66CA7D4A"/>
    <w:rsid w:val="66D61192"/>
    <w:rsid w:val="66FC6330"/>
    <w:rsid w:val="670567BC"/>
    <w:rsid w:val="67494EF6"/>
    <w:rsid w:val="67710BFC"/>
    <w:rsid w:val="67724979"/>
    <w:rsid w:val="677532A3"/>
    <w:rsid w:val="678B4C1B"/>
    <w:rsid w:val="678F18EF"/>
    <w:rsid w:val="679B3863"/>
    <w:rsid w:val="67AC0BDA"/>
    <w:rsid w:val="67B709FA"/>
    <w:rsid w:val="67BC2878"/>
    <w:rsid w:val="67D911C2"/>
    <w:rsid w:val="680C6E1D"/>
    <w:rsid w:val="68147B69"/>
    <w:rsid w:val="68330BEE"/>
    <w:rsid w:val="684D7CD3"/>
    <w:rsid w:val="68696C11"/>
    <w:rsid w:val="68721717"/>
    <w:rsid w:val="68867BC3"/>
    <w:rsid w:val="68D9058B"/>
    <w:rsid w:val="6904500B"/>
    <w:rsid w:val="690B06A6"/>
    <w:rsid w:val="691D17C6"/>
    <w:rsid w:val="691D1CC7"/>
    <w:rsid w:val="69433D01"/>
    <w:rsid w:val="695D01E0"/>
    <w:rsid w:val="697D0373"/>
    <w:rsid w:val="69A43B52"/>
    <w:rsid w:val="69A94835"/>
    <w:rsid w:val="69DF403D"/>
    <w:rsid w:val="69FD7D34"/>
    <w:rsid w:val="6A1F142A"/>
    <w:rsid w:val="6A503577"/>
    <w:rsid w:val="6A50366A"/>
    <w:rsid w:val="6A7C65C1"/>
    <w:rsid w:val="6A831133"/>
    <w:rsid w:val="6A9B0C67"/>
    <w:rsid w:val="6A9C7FFF"/>
    <w:rsid w:val="6AB57FE0"/>
    <w:rsid w:val="6AE663EC"/>
    <w:rsid w:val="6B0B0BB0"/>
    <w:rsid w:val="6B3277BE"/>
    <w:rsid w:val="6B5015F8"/>
    <w:rsid w:val="6B5951E1"/>
    <w:rsid w:val="6B61673A"/>
    <w:rsid w:val="6B82343D"/>
    <w:rsid w:val="6B863F8C"/>
    <w:rsid w:val="6B9667A8"/>
    <w:rsid w:val="6BB27234"/>
    <w:rsid w:val="6BB677E4"/>
    <w:rsid w:val="6BD1272D"/>
    <w:rsid w:val="6C1D7711"/>
    <w:rsid w:val="6C33202D"/>
    <w:rsid w:val="6C486338"/>
    <w:rsid w:val="6C6F3887"/>
    <w:rsid w:val="6C787CD6"/>
    <w:rsid w:val="6C8466ED"/>
    <w:rsid w:val="6C8C078B"/>
    <w:rsid w:val="6C8C4A68"/>
    <w:rsid w:val="6CD3438A"/>
    <w:rsid w:val="6CF40DCC"/>
    <w:rsid w:val="6CF60DC1"/>
    <w:rsid w:val="6D085C7A"/>
    <w:rsid w:val="6D1C5252"/>
    <w:rsid w:val="6D3F5496"/>
    <w:rsid w:val="6D4E4275"/>
    <w:rsid w:val="6D7A470D"/>
    <w:rsid w:val="6D914065"/>
    <w:rsid w:val="6DAB4B50"/>
    <w:rsid w:val="6DAC4B95"/>
    <w:rsid w:val="6DBD2F1C"/>
    <w:rsid w:val="6DEF5396"/>
    <w:rsid w:val="6E137219"/>
    <w:rsid w:val="6E532867"/>
    <w:rsid w:val="6E5C158C"/>
    <w:rsid w:val="6E72746A"/>
    <w:rsid w:val="6EA63CDB"/>
    <w:rsid w:val="6EB50A24"/>
    <w:rsid w:val="6EC20943"/>
    <w:rsid w:val="6EDE3DB8"/>
    <w:rsid w:val="6F0C014F"/>
    <w:rsid w:val="6F0E6095"/>
    <w:rsid w:val="6F110F40"/>
    <w:rsid w:val="6F1A61D0"/>
    <w:rsid w:val="6F417873"/>
    <w:rsid w:val="6F4835AB"/>
    <w:rsid w:val="6F594D54"/>
    <w:rsid w:val="6F75386E"/>
    <w:rsid w:val="6F9166E1"/>
    <w:rsid w:val="6F9379F2"/>
    <w:rsid w:val="6FA220C9"/>
    <w:rsid w:val="6FA67EF8"/>
    <w:rsid w:val="6FA82F2F"/>
    <w:rsid w:val="6FCB51CD"/>
    <w:rsid w:val="6FEB120E"/>
    <w:rsid w:val="70335C2F"/>
    <w:rsid w:val="704140A5"/>
    <w:rsid w:val="70434632"/>
    <w:rsid w:val="704E50A2"/>
    <w:rsid w:val="7053252E"/>
    <w:rsid w:val="706E2E83"/>
    <w:rsid w:val="70725ED5"/>
    <w:rsid w:val="70782618"/>
    <w:rsid w:val="7078370A"/>
    <w:rsid w:val="709D655D"/>
    <w:rsid w:val="70FB11D1"/>
    <w:rsid w:val="710F351A"/>
    <w:rsid w:val="711F76EA"/>
    <w:rsid w:val="71204889"/>
    <w:rsid w:val="712F6814"/>
    <w:rsid w:val="71370AC5"/>
    <w:rsid w:val="71874506"/>
    <w:rsid w:val="71921650"/>
    <w:rsid w:val="719D5850"/>
    <w:rsid w:val="71A57D4C"/>
    <w:rsid w:val="71A87F57"/>
    <w:rsid w:val="71D16621"/>
    <w:rsid w:val="71E32B34"/>
    <w:rsid w:val="71FA1485"/>
    <w:rsid w:val="72054D8D"/>
    <w:rsid w:val="721067DC"/>
    <w:rsid w:val="721455EC"/>
    <w:rsid w:val="72282BD0"/>
    <w:rsid w:val="726D4E61"/>
    <w:rsid w:val="7277366B"/>
    <w:rsid w:val="72A12151"/>
    <w:rsid w:val="72BF19FC"/>
    <w:rsid w:val="72CC6CAB"/>
    <w:rsid w:val="73150C49"/>
    <w:rsid w:val="73240C13"/>
    <w:rsid w:val="732679E1"/>
    <w:rsid w:val="734C46FC"/>
    <w:rsid w:val="735B04C7"/>
    <w:rsid w:val="73600DD6"/>
    <w:rsid w:val="73813156"/>
    <w:rsid w:val="740B2687"/>
    <w:rsid w:val="743703BA"/>
    <w:rsid w:val="74443FA3"/>
    <w:rsid w:val="747570EF"/>
    <w:rsid w:val="747F5749"/>
    <w:rsid w:val="74A118EE"/>
    <w:rsid w:val="74B33BE2"/>
    <w:rsid w:val="74C47470"/>
    <w:rsid w:val="751B76C3"/>
    <w:rsid w:val="753766C8"/>
    <w:rsid w:val="75493768"/>
    <w:rsid w:val="755071F2"/>
    <w:rsid w:val="75664477"/>
    <w:rsid w:val="75A938EC"/>
    <w:rsid w:val="75AF02CA"/>
    <w:rsid w:val="75B01758"/>
    <w:rsid w:val="75BC49BC"/>
    <w:rsid w:val="75E34615"/>
    <w:rsid w:val="75FC22C1"/>
    <w:rsid w:val="76037B33"/>
    <w:rsid w:val="7617256B"/>
    <w:rsid w:val="76292398"/>
    <w:rsid w:val="76470EDB"/>
    <w:rsid w:val="765B467D"/>
    <w:rsid w:val="7663674E"/>
    <w:rsid w:val="76A82CB4"/>
    <w:rsid w:val="76A934C6"/>
    <w:rsid w:val="76B06221"/>
    <w:rsid w:val="7726029C"/>
    <w:rsid w:val="77540243"/>
    <w:rsid w:val="776D48FA"/>
    <w:rsid w:val="7773730D"/>
    <w:rsid w:val="77816EFF"/>
    <w:rsid w:val="77927CE9"/>
    <w:rsid w:val="77993ACE"/>
    <w:rsid w:val="77A870B9"/>
    <w:rsid w:val="77AD31C5"/>
    <w:rsid w:val="77B645EC"/>
    <w:rsid w:val="77D00208"/>
    <w:rsid w:val="77D90137"/>
    <w:rsid w:val="77E4206D"/>
    <w:rsid w:val="77FF1267"/>
    <w:rsid w:val="78542AA8"/>
    <w:rsid w:val="786567E5"/>
    <w:rsid w:val="78734D30"/>
    <w:rsid w:val="7883510B"/>
    <w:rsid w:val="789711DE"/>
    <w:rsid w:val="78C6187A"/>
    <w:rsid w:val="78CF3B39"/>
    <w:rsid w:val="7912221C"/>
    <w:rsid w:val="791405DB"/>
    <w:rsid w:val="791537BA"/>
    <w:rsid w:val="7949054B"/>
    <w:rsid w:val="79562AD9"/>
    <w:rsid w:val="796B76D8"/>
    <w:rsid w:val="7971606B"/>
    <w:rsid w:val="797B2D87"/>
    <w:rsid w:val="797B7C96"/>
    <w:rsid w:val="79CB01FB"/>
    <w:rsid w:val="79D83522"/>
    <w:rsid w:val="79E511CB"/>
    <w:rsid w:val="79E653A4"/>
    <w:rsid w:val="79F72493"/>
    <w:rsid w:val="7A0D4F33"/>
    <w:rsid w:val="7A2B5D26"/>
    <w:rsid w:val="7A517A5E"/>
    <w:rsid w:val="7A5909D3"/>
    <w:rsid w:val="7A952411"/>
    <w:rsid w:val="7AE83ABA"/>
    <w:rsid w:val="7AE841D7"/>
    <w:rsid w:val="7AEA5013"/>
    <w:rsid w:val="7AF92F45"/>
    <w:rsid w:val="7B134FB0"/>
    <w:rsid w:val="7B2926D6"/>
    <w:rsid w:val="7B3D643D"/>
    <w:rsid w:val="7B5030D5"/>
    <w:rsid w:val="7B5A42C0"/>
    <w:rsid w:val="7B741282"/>
    <w:rsid w:val="7B770C6B"/>
    <w:rsid w:val="7B7844A9"/>
    <w:rsid w:val="7B8F0562"/>
    <w:rsid w:val="7B981359"/>
    <w:rsid w:val="7B983E73"/>
    <w:rsid w:val="7BB12AF5"/>
    <w:rsid w:val="7BBD0896"/>
    <w:rsid w:val="7BE00A06"/>
    <w:rsid w:val="7BF62C30"/>
    <w:rsid w:val="7C010EB7"/>
    <w:rsid w:val="7C165EBE"/>
    <w:rsid w:val="7C402E41"/>
    <w:rsid w:val="7C44379A"/>
    <w:rsid w:val="7C533657"/>
    <w:rsid w:val="7C5F30CC"/>
    <w:rsid w:val="7C946F43"/>
    <w:rsid w:val="7CBA55CE"/>
    <w:rsid w:val="7CC67F01"/>
    <w:rsid w:val="7CDF23CE"/>
    <w:rsid w:val="7CE45689"/>
    <w:rsid w:val="7D063EE4"/>
    <w:rsid w:val="7D280309"/>
    <w:rsid w:val="7D290CB5"/>
    <w:rsid w:val="7D382FDD"/>
    <w:rsid w:val="7D4665A7"/>
    <w:rsid w:val="7D5213D0"/>
    <w:rsid w:val="7D773982"/>
    <w:rsid w:val="7D7D7A58"/>
    <w:rsid w:val="7DB202F8"/>
    <w:rsid w:val="7DDC7503"/>
    <w:rsid w:val="7E032835"/>
    <w:rsid w:val="7E2345A9"/>
    <w:rsid w:val="7E354A43"/>
    <w:rsid w:val="7E6850C1"/>
    <w:rsid w:val="7EA52264"/>
    <w:rsid w:val="7EC21B3C"/>
    <w:rsid w:val="7ECB589A"/>
    <w:rsid w:val="7ECD548D"/>
    <w:rsid w:val="7F232129"/>
    <w:rsid w:val="7F315A30"/>
    <w:rsid w:val="7F3E4371"/>
    <w:rsid w:val="7F4E37D4"/>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Body Text First Indent 2"/>
    <w:basedOn w:val="9"/>
    <w:next w:val="1"/>
    <w:link w:val="31"/>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0"/>
    <w:semiHidden/>
    <w:unhideWhenUsed/>
    <w:qFormat/>
    <w:uiPriority w:val="99"/>
    <w:pPr>
      <w:spacing w:after="120"/>
      <w:ind w:left="420" w:leftChars="200"/>
    </w:pPr>
  </w:style>
  <w:style w:type="paragraph" w:customStyle="1" w:styleId="10">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11">
    <w:name w:val="Plain Text"/>
    <w:basedOn w:val="1"/>
    <w:link w:val="26"/>
    <w:qFormat/>
    <w:uiPriority w:val="0"/>
    <w:pPr>
      <w:spacing w:line="360" w:lineRule="auto"/>
    </w:pPr>
    <w:rPr>
      <w:rFonts w:ascii="宋体" w:hAnsi="Courier New"/>
      <w:sz w:val="24"/>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2"/>
    <w:basedOn w:val="1"/>
    <w:next w:val="1"/>
    <w:qFormat/>
    <w:uiPriority w:val="39"/>
    <w:pPr>
      <w:ind w:left="210"/>
      <w:jc w:val="left"/>
    </w:pPr>
    <w:rPr>
      <w:rFonts w:ascii="宋体" w:hAnsi="宋体" w:cs="宋体"/>
      <w:smallCaps/>
      <w:sz w:val="20"/>
      <w:szCs w:val="20"/>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sz w:val="32"/>
      <w:szCs w:val="21"/>
    </w:rPr>
  </w:style>
  <w:style w:type="character" w:styleId="22">
    <w:name w:val="page number"/>
    <w:qFormat/>
    <w:uiPriority w:val="0"/>
  </w:style>
  <w:style w:type="character" w:styleId="23">
    <w:name w:val="Hyperlink"/>
    <w:basedOn w:val="20"/>
    <w:unhideWhenUsed/>
    <w:qFormat/>
    <w:uiPriority w:val="99"/>
    <w:rPr>
      <w:color w:val="0563C1" w:themeColor="hyperlink"/>
      <w:u w:val="single"/>
      <w14:textFill>
        <w14:solidFill>
          <w14:schemeClr w14:val="hlink"/>
        </w14:solidFill>
      </w14:textFill>
    </w:rPr>
  </w:style>
  <w:style w:type="paragraph" w:styleId="24">
    <w:name w:val="List Paragraph"/>
    <w:basedOn w:val="1"/>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qFormat/>
    <w:uiPriority w:val="0"/>
    <w:pPr>
      <w:spacing w:line="360" w:lineRule="auto"/>
      <w:ind w:firstLine="560" w:firstLineChars="200"/>
    </w:pPr>
    <w:rPr>
      <w:rFonts w:eastAsia="仿宋_GB2312"/>
      <w:sz w:val="24"/>
      <w:szCs w:val="20"/>
    </w:rPr>
  </w:style>
  <w:style w:type="character" w:customStyle="1" w:styleId="26">
    <w:name w:val="纯文本 Char"/>
    <w:basedOn w:val="20"/>
    <w:link w:val="11"/>
    <w:qFormat/>
    <w:uiPriority w:val="0"/>
    <w:rPr>
      <w:rFonts w:ascii="宋体" w:hAnsi="Courier New" w:eastAsia="宋体" w:cs="Times New Roman"/>
      <w:sz w:val="24"/>
      <w:szCs w:val="20"/>
    </w:rPr>
  </w:style>
  <w:style w:type="character" w:customStyle="1" w:styleId="27">
    <w:name w:val="页眉 Char"/>
    <w:basedOn w:val="20"/>
    <w:link w:val="14"/>
    <w:qFormat/>
    <w:uiPriority w:val="99"/>
    <w:rPr>
      <w:rFonts w:ascii="Calibri" w:hAnsi="Calibri" w:eastAsia="宋体" w:cs="Times New Roman"/>
      <w:sz w:val="18"/>
      <w:szCs w:val="18"/>
    </w:rPr>
  </w:style>
  <w:style w:type="character" w:customStyle="1" w:styleId="28">
    <w:name w:val="页脚 Char"/>
    <w:basedOn w:val="20"/>
    <w:link w:val="13"/>
    <w:qFormat/>
    <w:uiPriority w:val="99"/>
    <w:rPr>
      <w:rFonts w:ascii="Calibri" w:hAnsi="Calibri" w:eastAsia="宋体" w:cs="Times New Roman"/>
      <w:sz w:val="18"/>
      <w:szCs w:val="18"/>
    </w:rPr>
  </w:style>
  <w:style w:type="character" w:customStyle="1" w:styleId="29">
    <w:name w:val="批注框文本 Char"/>
    <w:basedOn w:val="20"/>
    <w:link w:val="12"/>
    <w:semiHidden/>
    <w:qFormat/>
    <w:uiPriority w:val="99"/>
    <w:rPr>
      <w:rFonts w:ascii="Calibri" w:hAnsi="Calibri" w:eastAsia="宋体" w:cs="Times New Roman"/>
      <w:sz w:val="18"/>
      <w:szCs w:val="18"/>
    </w:rPr>
  </w:style>
  <w:style w:type="character" w:customStyle="1" w:styleId="30">
    <w:name w:val="正文文本缩进 Char"/>
    <w:basedOn w:val="20"/>
    <w:link w:val="9"/>
    <w:semiHidden/>
    <w:qFormat/>
    <w:uiPriority w:val="99"/>
    <w:rPr>
      <w:rFonts w:ascii="Calibri" w:hAnsi="Calibri" w:eastAsia="宋体" w:cs="Times New Roman"/>
      <w:kern w:val="2"/>
      <w:sz w:val="21"/>
      <w:szCs w:val="24"/>
    </w:rPr>
  </w:style>
  <w:style w:type="character" w:customStyle="1" w:styleId="31">
    <w:name w:val="正文首行缩进 2 Char"/>
    <w:basedOn w:val="30"/>
    <w:link w:val="8"/>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16970</Words>
  <Characters>18038</Characters>
  <Lines>168</Lines>
  <Paragraphs>47</Paragraphs>
  <TotalTime>3</TotalTime>
  <ScaleCrop>false</ScaleCrop>
  <LinksUpToDate>false</LinksUpToDate>
  <CharactersWithSpaces>19420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2024-08-15T07:49:00Z</cp:lastPrinted>
  <dcterms:modified xsi:type="dcterms:W3CDTF">2025-05-09T10:39:31Z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F2A3FF55FE36484EA21AAB977F6EF6DD</vt:lpwstr>
  </property>
  <property fmtid="{D5CDD505-2E9C-101B-9397-08002B2CF9AE}" pid="4" name="KSOTemplateDocerSaveRecord">
    <vt:lpwstr>eyJoZGlkIjoiZDFiMGZkMDAzOTZlZTU1MGVjMzM1N2FlMDA0M2MxYzIiLCJ1c2VySWQiOiIyNzQ4MDc2MTUifQ==</vt:lpwstr>
  </property>
</Properties>
</file>