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8345E">
      <w:pPr>
        <w:keepNext w:val="0"/>
        <w:keepLines w:val="0"/>
        <w:pageBreakBefore w:val="0"/>
        <w:widowControl/>
        <w:kinsoku/>
        <w:wordWrap/>
        <w:overflowPunct/>
        <w:topLinePunct w:val="0"/>
        <w:autoSpaceDE/>
        <w:autoSpaceDN/>
        <w:bidi w:val="0"/>
        <w:adjustRightInd/>
        <w:snapToGrid/>
        <w:spacing w:before="157" w:beforeLines="50" w:after="157" w:afterLines="50" w:line="1100" w:lineRule="exact"/>
        <w:jc w:val="both"/>
        <w:textAlignment w:val="auto"/>
        <w:outlineLvl w:val="9"/>
        <w:rPr>
          <w:rFonts w:hint="eastAsia" w:ascii="仿宋" w:hAnsi="仿宋" w:eastAsia="仿宋" w:cs="宋体"/>
          <w:b/>
          <w:bCs/>
          <w:kern w:val="0"/>
          <w:sz w:val="44"/>
          <w:szCs w:val="36"/>
          <w:highlight w:val="none"/>
          <w:lang w:eastAsia="zh-CN"/>
        </w:rPr>
      </w:pPr>
    </w:p>
    <w:p w14:paraId="4C772A0C">
      <w:pPr>
        <w:keepNext w:val="0"/>
        <w:keepLines w:val="0"/>
        <w:pageBreakBefore w:val="0"/>
        <w:widowControl/>
        <w:kinsoku/>
        <w:wordWrap/>
        <w:overflowPunct/>
        <w:topLinePunct w:val="0"/>
        <w:autoSpaceDE/>
        <w:autoSpaceDN/>
        <w:bidi w:val="0"/>
        <w:adjustRightInd/>
        <w:snapToGrid/>
        <w:spacing w:before="157" w:beforeLines="50" w:after="157" w:afterLines="50" w:line="1100" w:lineRule="exact"/>
        <w:jc w:val="center"/>
        <w:textAlignment w:val="auto"/>
        <w:outlineLvl w:val="9"/>
        <w:rPr>
          <w:rFonts w:hint="eastAsia" w:ascii="仿宋" w:hAnsi="仿宋" w:eastAsia="仿宋" w:cs="宋体"/>
          <w:b/>
          <w:bCs/>
          <w:kern w:val="0"/>
          <w:sz w:val="56"/>
          <w:szCs w:val="44"/>
          <w:highlight w:val="none"/>
          <w:lang w:eastAsia="zh-CN"/>
        </w:rPr>
      </w:pPr>
      <w:r>
        <w:rPr>
          <w:rFonts w:hint="eastAsia" w:ascii="仿宋" w:hAnsi="仿宋" w:eastAsia="仿宋" w:cs="宋体"/>
          <w:b/>
          <w:bCs/>
          <w:kern w:val="0"/>
          <w:sz w:val="56"/>
          <w:szCs w:val="44"/>
          <w:highlight w:val="none"/>
          <w:lang w:eastAsia="zh-CN"/>
        </w:rPr>
        <w:t>微山县人民医院三维医学影像手术计划数据处理服务项目</w:t>
      </w:r>
    </w:p>
    <w:p w14:paraId="53CF7F91">
      <w:pPr>
        <w:pStyle w:val="26"/>
        <w:rPr>
          <w:rFonts w:hint="eastAsia"/>
          <w:highlight w:val="none"/>
          <w:lang w:eastAsia="zh-CN"/>
        </w:rPr>
      </w:pPr>
    </w:p>
    <w:p w14:paraId="012CE6F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72"/>
          <w:szCs w:val="96"/>
          <w:highlight w:val="none"/>
        </w:rPr>
      </w:pPr>
      <w:r>
        <w:rPr>
          <w:rFonts w:hint="eastAsia" w:ascii="仿宋" w:hAnsi="仿宋" w:eastAsia="仿宋"/>
          <w:b/>
          <w:bCs/>
          <w:sz w:val="72"/>
          <w:szCs w:val="96"/>
          <w:highlight w:val="none"/>
        </w:rPr>
        <w:t>竞争性磋商文件</w:t>
      </w:r>
    </w:p>
    <w:p w14:paraId="7898851C">
      <w:pPr>
        <w:keepNext w:val="0"/>
        <w:keepLines w:val="0"/>
        <w:pageBreakBefore w:val="0"/>
        <w:kinsoku/>
        <w:wordWrap/>
        <w:overflowPunct/>
        <w:topLinePunct w:val="0"/>
        <w:autoSpaceDE/>
        <w:autoSpaceDN/>
        <w:bidi w:val="0"/>
        <w:adjustRightInd/>
        <w:snapToGrid/>
        <w:spacing w:line="360" w:lineRule="auto"/>
        <w:jc w:val="center"/>
        <w:textAlignment w:val="auto"/>
        <w:rPr>
          <w:rFonts w:ascii="仿宋" w:hAnsi="仿宋" w:eastAsia="仿宋" w:cs="宋体"/>
          <w:b/>
          <w:sz w:val="36"/>
          <w:szCs w:val="36"/>
          <w:highlight w:val="none"/>
        </w:rPr>
      </w:pPr>
    </w:p>
    <w:p w14:paraId="07B3142B">
      <w:pPr>
        <w:pStyle w:val="8"/>
        <w:rPr>
          <w:highlight w:val="none"/>
        </w:rPr>
      </w:pPr>
    </w:p>
    <w:p w14:paraId="3113119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宋体"/>
          <w:b/>
          <w:sz w:val="32"/>
          <w:szCs w:val="32"/>
          <w:highlight w:val="none"/>
          <w:lang w:eastAsia="zh-CN"/>
        </w:rPr>
      </w:pPr>
      <w:r>
        <w:rPr>
          <w:rFonts w:hint="eastAsia" w:ascii="仿宋" w:hAnsi="仿宋" w:eastAsia="仿宋" w:cs="宋体"/>
          <w:b/>
          <w:sz w:val="36"/>
          <w:szCs w:val="36"/>
          <w:highlight w:val="none"/>
        </w:rPr>
        <w:t>项目编号:</w:t>
      </w:r>
      <w:r>
        <w:rPr>
          <w:rFonts w:hint="eastAsia" w:ascii="仿宋" w:hAnsi="仿宋" w:eastAsia="仿宋" w:cs="宋体"/>
          <w:b/>
          <w:sz w:val="36"/>
          <w:szCs w:val="36"/>
          <w:highlight w:val="none"/>
          <w:lang w:eastAsia="zh-CN"/>
        </w:rPr>
        <w:t>WSND-2024-CG040</w:t>
      </w:r>
    </w:p>
    <w:p w14:paraId="4F87942B">
      <w:pPr>
        <w:pStyle w:val="10"/>
        <w:rPr>
          <w:highlight w:val="none"/>
        </w:rPr>
      </w:pPr>
    </w:p>
    <w:p w14:paraId="0BEFB8FD">
      <w:pPr>
        <w:tabs>
          <w:tab w:val="left" w:pos="8297"/>
        </w:tabs>
        <w:spacing w:line="360" w:lineRule="auto"/>
        <w:ind w:firstLine="2293" w:firstLineChars="1092"/>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p>
    <w:p w14:paraId="29F4C288">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14:paraId="643D7D82">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14:paraId="2960359B">
      <w:pPr>
        <w:widowControl/>
        <w:spacing w:line="720" w:lineRule="auto"/>
        <w:jc w:val="center"/>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r>
        <w:rPr>
          <w:rFonts w:hint="eastAsia" w:ascii="仿宋" w:hAnsi="仿宋" w:eastAsia="仿宋"/>
          <w:b/>
          <w:color w:val="000000"/>
          <w:sz w:val="36"/>
          <w:szCs w:val="36"/>
          <w:highlight w:val="none"/>
          <w:lang w:eastAsia="zh-CN"/>
        </w:rPr>
        <w:t>2024年</w:t>
      </w:r>
      <w:r>
        <w:rPr>
          <w:rFonts w:hint="eastAsia" w:ascii="仿宋" w:hAnsi="仿宋" w:eastAsia="仿宋"/>
          <w:b/>
          <w:color w:val="000000"/>
          <w:sz w:val="36"/>
          <w:szCs w:val="36"/>
          <w:highlight w:val="none"/>
          <w:lang w:val="en-US" w:eastAsia="zh-CN"/>
        </w:rPr>
        <w:t>11</w:t>
      </w:r>
      <w:r>
        <w:rPr>
          <w:rFonts w:hint="eastAsia" w:ascii="仿宋" w:hAnsi="仿宋" w:eastAsia="仿宋"/>
          <w:b/>
          <w:color w:val="000000"/>
          <w:sz w:val="36"/>
          <w:szCs w:val="36"/>
          <w:highlight w:val="none"/>
          <w:lang w:eastAsia="zh-CN"/>
        </w:rPr>
        <w:t>月</w:t>
      </w:r>
    </w:p>
    <w:p w14:paraId="35F6A7A0">
      <w:pPr>
        <w:widowControl/>
        <w:spacing w:line="720" w:lineRule="auto"/>
        <w:jc w:val="both"/>
        <w:rPr>
          <w:rFonts w:hint="eastAsia" w:ascii="仿宋" w:hAnsi="仿宋" w:eastAsia="仿宋"/>
          <w:b/>
          <w:bCs/>
          <w:sz w:val="44"/>
          <w:szCs w:val="110"/>
          <w:highlight w:val="none"/>
        </w:rPr>
      </w:pPr>
    </w:p>
    <w:p w14:paraId="7236C494">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8"/>
          <w:szCs w:val="48"/>
          <w:highlight w:val="none"/>
        </w:rPr>
      </w:pPr>
      <w:r>
        <w:rPr>
          <w:rFonts w:hint="eastAsia" w:ascii="仿宋" w:hAnsi="仿宋" w:eastAsia="仿宋"/>
          <w:b/>
          <w:bCs/>
          <w:spacing w:val="113"/>
          <w:sz w:val="48"/>
          <w:szCs w:val="48"/>
          <w:highlight w:val="none"/>
        </w:rPr>
        <w:t>目 录</w:t>
      </w:r>
    </w:p>
    <w:p w14:paraId="62321DD1">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14:paraId="5DCB9387">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14:paraId="752AD204">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14:paraId="49E848A5">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14:paraId="592A6EF9">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14:paraId="409DB959">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第六部分 政府采购合同</w:t>
      </w:r>
    </w:p>
    <w:p w14:paraId="1034F8DD">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14:paraId="3A72A2AC">
      <w:pPr>
        <w:pStyle w:val="10"/>
        <w:rPr>
          <w:highlight w:val="none"/>
        </w:rPr>
      </w:pPr>
      <w:r>
        <w:rPr>
          <w:highlight w:val="none"/>
        </w:rPr>
        <w:br w:type="page"/>
      </w:r>
    </w:p>
    <w:p w14:paraId="1171D90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32"/>
          <w:szCs w:val="32"/>
          <w:highlight w:val="none"/>
          <w:lang w:eastAsia="zh-CN"/>
        </w:rPr>
      </w:pPr>
      <w:r>
        <w:rPr>
          <w:rFonts w:ascii="仿宋" w:hAnsi="仿宋" w:eastAsia="仿宋"/>
          <w:b/>
          <w:bCs/>
          <w:sz w:val="32"/>
          <w:szCs w:val="32"/>
          <w:highlight w:val="none"/>
        </w:rPr>
        <w:t>第一部分</w:t>
      </w: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eastAsia="zh-CN"/>
        </w:rPr>
        <w:t>微山县人民医院三维医学影像手术计划数据处理服务项目</w:t>
      </w:r>
    </w:p>
    <w:p w14:paraId="1EE2B4C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14:paraId="7A6A388D">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一、采购人：微山县人民医院                   地址：微山县城后路10号</w:t>
      </w:r>
    </w:p>
    <w:p w14:paraId="3F574278">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联系人：王主任                             联系电话：15653726001</w:t>
      </w:r>
    </w:p>
    <w:p w14:paraId="150EABB6">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采购代理机构：山东宁大项目管理有限公司   地址：微山湖大道96-4号</w:t>
      </w:r>
    </w:p>
    <w:p w14:paraId="2D71EB98">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Arial"/>
          <w:sz w:val="28"/>
          <w:szCs w:val="28"/>
          <w:highlight w:val="none"/>
          <w:lang w:val="en-US" w:eastAsia="zh-CN"/>
        </w:rPr>
        <w:t>联系人：张工、姜工            联系电话：15563760277、13105475797</w:t>
      </w:r>
    </w:p>
    <w:p w14:paraId="176F28AE">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微山县人民医院三维医学影像手术计划数据处理服务项目</w:t>
      </w:r>
    </w:p>
    <w:p w14:paraId="5E91B86F">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：WSND-2024-CG040</w:t>
      </w:r>
    </w:p>
    <w:p w14:paraId="5E8D5BB6">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18"/>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270"/>
        <w:gridCol w:w="6076"/>
        <w:gridCol w:w="1657"/>
      </w:tblGrid>
      <w:tr w14:paraId="7801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821" w:type="dxa"/>
            <w:noWrap w:val="0"/>
            <w:vAlign w:val="center"/>
          </w:tcPr>
          <w:p w14:paraId="36E574E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270" w:type="dxa"/>
            <w:noWrap w:val="0"/>
            <w:vAlign w:val="center"/>
          </w:tcPr>
          <w:p w14:paraId="293FF30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货物服务名称</w:t>
            </w:r>
          </w:p>
        </w:tc>
        <w:tc>
          <w:tcPr>
            <w:tcW w:w="6076" w:type="dxa"/>
            <w:noWrap w:val="0"/>
            <w:vAlign w:val="center"/>
          </w:tcPr>
          <w:p w14:paraId="5C07802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657" w:type="dxa"/>
            <w:noWrap w:val="0"/>
            <w:vAlign w:val="center"/>
          </w:tcPr>
          <w:p w14:paraId="665404D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费率控制价</w:t>
            </w:r>
          </w:p>
        </w:tc>
      </w:tr>
      <w:tr w14:paraId="2A92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6" w:hRule="atLeast"/>
          <w:jc w:val="center"/>
        </w:trPr>
        <w:tc>
          <w:tcPr>
            <w:tcW w:w="821" w:type="dxa"/>
            <w:noWrap w:val="0"/>
            <w:vAlign w:val="center"/>
          </w:tcPr>
          <w:p w14:paraId="00984D2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A</w:t>
            </w:r>
          </w:p>
        </w:tc>
        <w:tc>
          <w:tcPr>
            <w:tcW w:w="1270" w:type="dxa"/>
            <w:noWrap w:val="0"/>
            <w:vAlign w:val="center"/>
          </w:tcPr>
          <w:p w14:paraId="471DE82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pacing w:val="-20"/>
                <w:sz w:val="28"/>
                <w:szCs w:val="28"/>
                <w:highlight w:val="none"/>
                <w:lang w:val="en-US" w:eastAsia="zh-CN"/>
              </w:rPr>
            </w:pPr>
            <w:r>
              <w:rPr>
                <w:rFonts w:hint="default" w:ascii="仿宋" w:hAnsi="仿宋" w:eastAsia="仿宋" w:cs="宋体"/>
                <w:spacing w:val="-20"/>
                <w:sz w:val="28"/>
                <w:szCs w:val="28"/>
                <w:highlight w:val="none"/>
                <w:lang w:val="en-US" w:eastAsia="zh-CN"/>
              </w:rPr>
              <w:t>三维医学影像手术计划数据处理服务项目</w:t>
            </w:r>
          </w:p>
        </w:tc>
        <w:tc>
          <w:tcPr>
            <w:tcW w:w="6076" w:type="dxa"/>
            <w:noWrap w:val="0"/>
            <w:vAlign w:val="center"/>
          </w:tcPr>
          <w:p w14:paraId="7370057A">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szCs w:val="28"/>
                <w:highlight w:val="none"/>
                <w:shd w:val="clear" w:color="auto" w:fill="FFFFFF"/>
              </w:rPr>
            </w:pPr>
            <w:r>
              <w:rPr>
                <w:rFonts w:hint="eastAsia" w:ascii="仿宋" w:hAnsi="仿宋" w:eastAsia="仿宋"/>
                <w:spacing w:val="-20"/>
                <w:kern w:val="0"/>
                <w:sz w:val="28"/>
                <w:szCs w:val="28"/>
                <w:highlight w:val="none"/>
                <w:shd w:val="clear" w:color="auto" w:fill="FFFFFF"/>
              </w:rPr>
              <w:t>一、具有独立承担民事责任的能力；</w:t>
            </w:r>
          </w:p>
          <w:p w14:paraId="0703CD21">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szCs w:val="28"/>
                <w:highlight w:val="none"/>
                <w:shd w:val="clear" w:color="auto" w:fill="FFFFFF"/>
              </w:rPr>
            </w:pPr>
            <w:r>
              <w:rPr>
                <w:rFonts w:hint="eastAsia" w:ascii="仿宋" w:hAnsi="仿宋" w:eastAsia="仿宋"/>
                <w:spacing w:val="-20"/>
                <w:kern w:val="0"/>
                <w:sz w:val="28"/>
                <w:szCs w:val="28"/>
                <w:highlight w:val="none"/>
                <w:shd w:val="clear" w:color="auto" w:fill="FFFFFF"/>
              </w:rPr>
              <w:t>二、具有良好的商业信誉和健全的财务会计制度；</w:t>
            </w:r>
          </w:p>
          <w:p w14:paraId="517CFEEF">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szCs w:val="28"/>
                <w:highlight w:val="none"/>
                <w:shd w:val="clear" w:color="auto" w:fill="FFFFFF"/>
              </w:rPr>
            </w:pPr>
            <w:r>
              <w:rPr>
                <w:rFonts w:hint="eastAsia" w:ascii="仿宋" w:hAnsi="仿宋" w:eastAsia="仿宋"/>
                <w:spacing w:val="-20"/>
                <w:kern w:val="0"/>
                <w:sz w:val="28"/>
                <w:szCs w:val="28"/>
                <w:highlight w:val="none"/>
                <w:shd w:val="clear" w:color="auto" w:fill="FFFFFF"/>
              </w:rPr>
              <w:t>三、具有履行合同所必需的设备和专业技术能力；</w:t>
            </w:r>
          </w:p>
          <w:p w14:paraId="437616AB">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szCs w:val="28"/>
                <w:highlight w:val="none"/>
                <w:shd w:val="clear" w:color="auto" w:fill="FFFFFF"/>
              </w:rPr>
            </w:pPr>
            <w:r>
              <w:rPr>
                <w:rFonts w:hint="eastAsia" w:ascii="仿宋" w:hAnsi="仿宋" w:eastAsia="仿宋"/>
                <w:spacing w:val="-20"/>
                <w:kern w:val="0"/>
                <w:sz w:val="28"/>
                <w:szCs w:val="28"/>
                <w:highlight w:val="none"/>
                <w:shd w:val="clear" w:color="auto" w:fill="FFFFFF"/>
              </w:rPr>
              <w:t>四、有依法缴纳税收和社会保障资金的良好记录；</w:t>
            </w:r>
          </w:p>
          <w:p w14:paraId="3A095837">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szCs w:val="28"/>
                <w:highlight w:val="none"/>
                <w:shd w:val="clear" w:color="auto" w:fill="FFFFFF"/>
              </w:rPr>
            </w:pPr>
            <w:r>
              <w:rPr>
                <w:rFonts w:hint="eastAsia" w:ascii="仿宋" w:hAnsi="仿宋" w:eastAsia="仿宋"/>
                <w:spacing w:val="-20"/>
                <w:kern w:val="0"/>
                <w:sz w:val="28"/>
                <w:szCs w:val="28"/>
                <w:highlight w:val="none"/>
                <w:shd w:val="clear" w:color="auto" w:fill="FFFFFF"/>
              </w:rPr>
              <w:t>五、参加政府采购活动前三年内，在经营活动中没有重大违法记录；</w:t>
            </w:r>
          </w:p>
          <w:p w14:paraId="46FC204C">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szCs w:val="28"/>
                <w:highlight w:val="none"/>
                <w:shd w:val="clear" w:color="auto" w:fill="FFFFFF"/>
                <w:lang w:eastAsia="zh-CN"/>
              </w:rPr>
            </w:pPr>
            <w:r>
              <w:rPr>
                <w:rFonts w:hint="eastAsia" w:ascii="仿宋" w:hAnsi="仿宋" w:eastAsia="仿宋"/>
                <w:spacing w:val="-20"/>
                <w:kern w:val="0"/>
                <w:sz w:val="28"/>
                <w:szCs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szCs w:val="28"/>
                <w:highlight w:val="none"/>
                <w:shd w:val="clear" w:color="auto" w:fill="FFFFFF"/>
                <w:lang w:val="en-US" w:eastAsia="zh-CN"/>
              </w:rPr>
              <w:t>；</w:t>
            </w:r>
          </w:p>
          <w:p w14:paraId="73AA63C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七、</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14:paraId="6C59D7C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14:paraId="420BCB6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宋体"/>
                <w:sz w:val="28"/>
                <w:szCs w:val="28"/>
                <w:highlight w:val="none"/>
              </w:rPr>
            </w:pPr>
            <w:r>
              <w:rPr>
                <w:rFonts w:hint="eastAsia" w:ascii="仿宋" w:hAnsi="仿宋" w:eastAsia="仿宋"/>
                <w:color w:val="000000"/>
                <w:sz w:val="28"/>
                <w:szCs w:val="28"/>
                <w:highlight w:val="none"/>
              </w:rPr>
              <w:t>本项目资格审查方式：资格后审。</w:t>
            </w:r>
          </w:p>
        </w:tc>
        <w:tc>
          <w:tcPr>
            <w:tcW w:w="1657" w:type="dxa"/>
            <w:noWrap w:val="0"/>
            <w:vAlign w:val="center"/>
          </w:tcPr>
          <w:p w14:paraId="0D4BE5A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olor w:val="000000"/>
                <w:sz w:val="28"/>
                <w:szCs w:val="28"/>
                <w:highlight w:val="none"/>
                <w:lang w:val="en-US" w:eastAsia="zh-CN"/>
              </w:rPr>
            </w:pPr>
            <w:r>
              <w:rPr>
                <w:rFonts w:hint="default" w:ascii="仿宋" w:hAnsi="仿宋" w:eastAsia="仿宋"/>
                <w:color w:val="000000"/>
                <w:sz w:val="28"/>
                <w:szCs w:val="28"/>
                <w:highlight w:val="none"/>
                <w:lang w:val="en-US" w:eastAsia="zh-CN"/>
              </w:rPr>
              <w:t>医院收费标准的</w:t>
            </w:r>
            <w:r>
              <w:rPr>
                <w:rFonts w:hint="eastAsia" w:ascii="仿宋" w:hAnsi="仿宋" w:eastAsia="仿宋"/>
                <w:color w:val="000000"/>
                <w:sz w:val="28"/>
                <w:szCs w:val="28"/>
                <w:highlight w:val="none"/>
                <w:lang w:val="en-US" w:eastAsia="zh-CN"/>
              </w:rPr>
              <w:t>3</w:t>
            </w:r>
            <w:r>
              <w:rPr>
                <w:rFonts w:hint="default" w:ascii="仿宋" w:hAnsi="仿宋" w:eastAsia="仿宋"/>
                <w:color w:val="000000"/>
                <w:sz w:val="28"/>
                <w:szCs w:val="28"/>
                <w:highlight w:val="none"/>
                <w:lang w:val="en-US" w:eastAsia="zh-CN"/>
              </w:rPr>
              <w:t>0%</w:t>
            </w:r>
          </w:p>
        </w:tc>
      </w:tr>
    </w:tbl>
    <w:p w14:paraId="56D4C429">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14:paraId="5213C4C9">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Arial"/>
          <w:sz w:val="28"/>
          <w:szCs w:val="28"/>
          <w:highlight w:val="none"/>
        </w:rPr>
        <w:t>1、时间</w:t>
      </w:r>
      <w:r>
        <w:rPr>
          <w:rFonts w:hint="eastAsia" w:ascii="仿宋" w:hAnsi="仿宋" w:eastAsia="仿宋" w:cs="Arial"/>
          <w:color w:val="000000" w:themeColor="text1"/>
          <w:sz w:val="28"/>
          <w:szCs w:val="28"/>
          <w:highlight w:val="none"/>
          <w:lang w:eastAsia="zh-CN"/>
          <w14:textFill>
            <w14:solidFill>
              <w14:schemeClr w14:val="tx1"/>
            </w14:solidFill>
          </w14:textFill>
        </w:rPr>
        <w:t>：2024年</w:t>
      </w:r>
      <w:r>
        <w:rPr>
          <w:rFonts w:hint="eastAsia" w:ascii="仿宋" w:hAnsi="仿宋" w:eastAsia="仿宋" w:cs="Arial"/>
          <w:color w:val="000000" w:themeColor="text1"/>
          <w:sz w:val="28"/>
          <w:szCs w:val="28"/>
          <w:highlight w:val="none"/>
          <w:lang w:val="en-US" w:eastAsia="zh-CN"/>
          <w14:textFill>
            <w14:solidFill>
              <w14:schemeClr w14:val="tx1"/>
            </w14:solidFill>
          </w14:textFill>
        </w:rPr>
        <w:t>11</w:t>
      </w:r>
      <w:r>
        <w:rPr>
          <w:rFonts w:hint="eastAsia" w:ascii="仿宋" w:hAnsi="仿宋" w:eastAsia="仿宋" w:cs="Arial"/>
          <w:color w:val="000000" w:themeColor="text1"/>
          <w:sz w:val="28"/>
          <w:szCs w:val="28"/>
          <w:highlight w:val="none"/>
          <w:lang w:eastAsia="zh-CN"/>
          <w14:textFill>
            <w14:solidFill>
              <w14:schemeClr w14:val="tx1"/>
            </w14:solidFill>
          </w14:textFill>
        </w:rPr>
        <w:t>月</w:t>
      </w:r>
      <w:r>
        <w:rPr>
          <w:rFonts w:hint="eastAsia" w:ascii="仿宋" w:hAnsi="仿宋" w:eastAsia="仿宋" w:cs="Arial"/>
          <w:color w:val="000000" w:themeColor="text1"/>
          <w:sz w:val="28"/>
          <w:szCs w:val="28"/>
          <w:highlight w:val="none"/>
          <w:lang w:val="en-US" w:eastAsia="zh-CN"/>
          <w14:textFill>
            <w14:solidFill>
              <w14:schemeClr w14:val="tx1"/>
            </w14:solidFill>
          </w14:textFill>
        </w:rPr>
        <w:t>21</w:t>
      </w:r>
      <w:r>
        <w:rPr>
          <w:rFonts w:hint="eastAsia" w:ascii="仿宋" w:hAnsi="仿宋" w:eastAsia="仿宋" w:cs="Arial"/>
          <w:color w:val="000000" w:themeColor="text1"/>
          <w:sz w:val="28"/>
          <w:szCs w:val="28"/>
          <w:highlight w:val="none"/>
          <w:lang w:eastAsia="zh-CN"/>
          <w14:textFill>
            <w14:solidFill>
              <w14:schemeClr w14:val="tx1"/>
            </w14:solidFill>
          </w14:textFill>
        </w:rPr>
        <w:t>日至2024年</w:t>
      </w:r>
      <w:r>
        <w:rPr>
          <w:rFonts w:hint="eastAsia" w:ascii="仿宋" w:hAnsi="仿宋" w:eastAsia="仿宋" w:cs="Arial"/>
          <w:color w:val="000000" w:themeColor="text1"/>
          <w:sz w:val="28"/>
          <w:szCs w:val="28"/>
          <w:highlight w:val="none"/>
          <w:lang w:val="en-US" w:eastAsia="zh-CN"/>
          <w14:textFill>
            <w14:solidFill>
              <w14:schemeClr w14:val="tx1"/>
            </w14:solidFill>
          </w14:textFill>
        </w:rPr>
        <w:t>11</w:t>
      </w:r>
      <w:r>
        <w:rPr>
          <w:rFonts w:hint="eastAsia" w:ascii="仿宋" w:hAnsi="仿宋" w:eastAsia="仿宋" w:cs="Arial"/>
          <w:color w:val="000000" w:themeColor="text1"/>
          <w:sz w:val="28"/>
          <w:szCs w:val="28"/>
          <w:highlight w:val="none"/>
          <w:lang w:eastAsia="zh-CN"/>
          <w14:textFill>
            <w14:solidFill>
              <w14:schemeClr w14:val="tx1"/>
            </w14:solidFill>
          </w14:textFill>
        </w:rPr>
        <w:t>月</w:t>
      </w:r>
      <w:r>
        <w:rPr>
          <w:rFonts w:hint="eastAsia" w:ascii="仿宋" w:hAnsi="仿宋" w:eastAsia="仿宋" w:cs="Arial"/>
          <w:color w:val="000000" w:themeColor="text1"/>
          <w:sz w:val="28"/>
          <w:szCs w:val="28"/>
          <w:highlight w:val="none"/>
          <w:lang w:val="en-US" w:eastAsia="zh-CN"/>
          <w14:textFill>
            <w14:solidFill>
              <w14:schemeClr w14:val="tx1"/>
            </w14:solidFill>
          </w14:textFill>
        </w:rPr>
        <w:t>27</w:t>
      </w:r>
      <w:r>
        <w:rPr>
          <w:rFonts w:hint="eastAsia" w:ascii="仿宋" w:hAnsi="仿宋" w:eastAsia="仿宋" w:cs="Arial"/>
          <w:color w:val="000000" w:themeColor="text1"/>
          <w:sz w:val="28"/>
          <w:szCs w:val="28"/>
          <w:highlight w:val="none"/>
          <w:lang w:eastAsia="zh-CN"/>
          <w14:textFill>
            <w14:solidFill>
              <w14:schemeClr w14:val="tx1"/>
            </w14:solidFill>
          </w14:textFill>
        </w:rPr>
        <w:t>日</w:t>
      </w:r>
      <w:r>
        <w:rPr>
          <w:rFonts w:hint="eastAsia" w:ascii="仿宋" w:hAnsi="仿宋" w:eastAsia="仿宋" w:cs="Arial"/>
          <w:color w:val="000000" w:themeColor="text1"/>
          <w:sz w:val="28"/>
          <w:szCs w:val="28"/>
          <w:highlight w:val="none"/>
          <w14:textFill>
            <w14:solidFill>
              <w14:schemeClr w14:val="tx1"/>
            </w14:solidFill>
          </w14:textFill>
        </w:rPr>
        <w:t>（节假日除外）每天上午</w:t>
      </w:r>
      <w:r>
        <w:rPr>
          <w:rFonts w:hint="eastAsia" w:ascii="仿宋" w:hAnsi="仿宋" w:eastAsia="仿宋" w:cs="Arial"/>
          <w:color w:val="000000" w:themeColor="text1"/>
          <w:sz w:val="28"/>
          <w:szCs w:val="28"/>
          <w:highlight w:val="none"/>
          <w:lang w:val="en-US" w:eastAsia="zh-CN"/>
          <w14:textFill>
            <w14:solidFill>
              <w14:schemeClr w14:val="tx1"/>
            </w14:solidFill>
          </w14:textFill>
        </w:rPr>
        <w:t>9</w:t>
      </w:r>
      <w:r>
        <w:rPr>
          <w:rFonts w:hint="eastAsia" w:ascii="仿宋" w:hAnsi="仿宋" w:eastAsia="仿宋" w:cs="Arial"/>
          <w:color w:val="000000" w:themeColor="text1"/>
          <w:sz w:val="28"/>
          <w:szCs w:val="28"/>
          <w:highlight w:val="none"/>
          <w14:textFill>
            <w14:solidFill>
              <w14:schemeClr w14:val="tx1"/>
            </w14:solidFill>
          </w14:textFill>
        </w:rPr>
        <w:t>：</w:t>
      </w:r>
      <w:r>
        <w:rPr>
          <w:rFonts w:hint="eastAsia" w:ascii="仿宋" w:hAnsi="仿宋" w:eastAsia="仿宋" w:cs="Arial"/>
          <w:color w:val="000000" w:themeColor="text1"/>
          <w:sz w:val="28"/>
          <w:szCs w:val="28"/>
          <w:highlight w:val="none"/>
          <w:lang w:val="en-US" w:eastAsia="zh-CN"/>
          <w14:textFill>
            <w14:solidFill>
              <w14:schemeClr w14:val="tx1"/>
            </w14:solidFill>
          </w14:textFill>
        </w:rPr>
        <w:t>0</w:t>
      </w:r>
      <w:r>
        <w:rPr>
          <w:rFonts w:hint="eastAsia" w:ascii="仿宋" w:hAnsi="仿宋" w:eastAsia="仿宋" w:cs="Arial"/>
          <w:color w:val="000000" w:themeColor="text1"/>
          <w:sz w:val="28"/>
          <w:szCs w:val="28"/>
          <w:highlight w:val="none"/>
          <w14:textFill>
            <w14:solidFill>
              <w14:schemeClr w14:val="tx1"/>
            </w14:solidFill>
          </w14:textFill>
        </w:rPr>
        <w:t>0-12：00，下午14：00-1</w:t>
      </w:r>
      <w:r>
        <w:rPr>
          <w:rFonts w:hint="eastAsia" w:ascii="仿宋" w:hAnsi="仿宋" w:eastAsia="仿宋" w:cs="Arial"/>
          <w:color w:val="000000" w:themeColor="text1"/>
          <w:sz w:val="28"/>
          <w:szCs w:val="28"/>
          <w:highlight w:val="none"/>
          <w:lang w:val="en-US" w:eastAsia="zh-CN"/>
          <w14:textFill>
            <w14:solidFill>
              <w14:schemeClr w14:val="tx1"/>
            </w14:solidFill>
          </w14:textFill>
        </w:rPr>
        <w:t>7</w:t>
      </w:r>
      <w:r>
        <w:rPr>
          <w:rFonts w:hint="eastAsia" w:ascii="仿宋" w:hAnsi="仿宋" w:eastAsia="仿宋" w:cs="Arial"/>
          <w:color w:val="000000" w:themeColor="text1"/>
          <w:sz w:val="28"/>
          <w:szCs w:val="28"/>
          <w:highlight w:val="none"/>
          <w14:textFill>
            <w14:solidFill>
              <w14:schemeClr w14:val="tx1"/>
            </w14:solidFill>
          </w14:textFill>
        </w:rPr>
        <w:t>：</w:t>
      </w:r>
      <w:r>
        <w:rPr>
          <w:rFonts w:hint="eastAsia" w:ascii="仿宋" w:hAnsi="仿宋" w:eastAsia="仿宋" w:cs="Arial"/>
          <w:color w:val="000000" w:themeColor="text1"/>
          <w:sz w:val="28"/>
          <w:szCs w:val="28"/>
          <w:highlight w:val="none"/>
          <w:lang w:val="en-US" w:eastAsia="zh-CN"/>
          <w14:textFill>
            <w14:solidFill>
              <w14:schemeClr w14:val="tx1"/>
            </w14:solidFill>
          </w14:textFill>
        </w:rPr>
        <w:t>3</w:t>
      </w:r>
      <w:r>
        <w:rPr>
          <w:rFonts w:hint="eastAsia" w:ascii="仿宋" w:hAnsi="仿宋" w:eastAsia="仿宋" w:cs="Arial"/>
          <w:color w:val="000000" w:themeColor="text1"/>
          <w:sz w:val="28"/>
          <w:szCs w:val="28"/>
          <w:highlight w:val="none"/>
          <w14:textFill>
            <w14:solidFill>
              <w14:schemeClr w14:val="tx1"/>
            </w14:solidFill>
          </w14:textFill>
        </w:rPr>
        <w:t>0（北京时间）</w:t>
      </w:r>
    </w:p>
    <w:p w14:paraId="76F4867B">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2.地点：微山县微山湖大道96-4号</w:t>
      </w:r>
    </w:p>
    <w:p w14:paraId="3B5AC597">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3.方式：</w:t>
      </w:r>
      <w:r>
        <w:rPr>
          <w:rFonts w:hint="eastAsia" w:ascii="仿宋" w:hAnsi="仿宋" w:eastAsia="仿宋"/>
          <w:color w:val="000000" w:themeColor="text1"/>
          <w:kern w:val="0"/>
          <w:sz w:val="28"/>
          <w:szCs w:val="28"/>
          <w:highlight w:val="none"/>
          <w14:textFill>
            <w14:solidFill>
              <w14:schemeClr w14:val="tx1"/>
            </w14:solidFill>
          </w14:textFill>
        </w:rPr>
        <w:t>法定代表人或被授权人请携带：</w:t>
      </w:r>
    </w:p>
    <w:p w14:paraId="21A0F6B1">
      <w:pPr>
        <w:spacing w:line="360" w:lineRule="exact"/>
        <w:ind w:firstLine="560" w:firstLineChars="200"/>
        <w:rPr>
          <w:rFonts w:hint="eastAsia"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Arial"/>
          <w:color w:val="000000" w:themeColor="text1"/>
          <w:sz w:val="28"/>
          <w:szCs w:val="28"/>
          <w:highlight w:val="none"/>
          <w:lang w:eastAsia="zh-CN"/>
          <w14:textFill>
            <w14:solidFill>
              <w14:schemeClr w14:val="tx1"/>
            </w14:solidFill>
          </w14:textFill>
        </w:rPr>
        <w:t>有效的营业执照原件</w:t>
      </w:r>
      <w:r>
        <w:rPr>
          <w:rFonts w:hint="eastAsia" w:ascii="仿宋" w:hAnsi="仿宋" w:eastAsia="仿宋" w:cs="Arial"/>
          <w:color w:val="000000" w:themeColor="text1"/>
          <w:sz w:val="28"/>
          <w:szCs w:val="28"/>
          <w:highlight w:val="none"/>
          <w:lang w:val="en-US" w:eastAsia="zh-CN"/>
          <w14:textFill>
            <w14:solidFill>
              <w14:schemeClr w14:val="tx1"/>
            </w14:solidFill>
          </w14:textFill>
        </w:rPr>
        <w:t>、</w:t>
      </w:r>
      <w:r>
        <w:rPr>
          <w:rFonts w:hint="eastAsia" w:ascii="仿宋" w:hAnsi="仿宋" w:eastAsia="仿宋" w:cs="Arial"/>
          <w:color w:val="000000" w:themeColor="text1"/>
          <w:sz w:val="28"/>
          <w:szCs w:val="28"/>
          <w:highlight w:val="none"/>
          <w:lang w:eastAsia="zh-CN"/>
          <w14:textFill>
            <w14:solidFill>
              <w14:schemeClr w14:val="tx1"/>
            </w14:solidFill>
          </w14:textFill>
        </w:rPr>
        <w:t>法定代表人身份证原件或授权委托书</w:t>
      </w:r>
      <w:r>
        <w:rPr>
          <w:rFonts w:hint="eastAsia" w:ascii="仿宋" w:hAnsi="仿宋" w:eastAsia="仿宋" w:cs="Arial"/>
          <w:color w:val="000000" w:themeColor="text1"/>
          <w:sz w:val="28"/>
          <w:szCs w:val="28"/>
          <w:highlight w:val="none"/>
          <w:lang w:val="en-US" w:eastAsia="zh-CN"/>
          <w14:textFill>
            <w14:solidFill>
              <w14:schemeClr w14:val="tx1"/>
            </w14:solidFill>
          </w14:textFill>
        </w:rPr>
        <w:t>原件</w:t>
      </w:r>
      <w:r>
        <w:rPr>
          <w:rFonts w:hint="eastAsia" w:ascii="仿宋" w:hAnsi="仿宋" w:eastAsia="仿宋" w:cs="Arial"/>
          <w:color w:val="000000" w:themeColor="text1"/>
          <w:sz w:val="28"/>
          <w:szCs w:val="28"/>
          <w:highlight w:val="none"/>
          <w:lang w:eastAsia="zh-CN"/>
          <w14:textFill>
            <w14:solidFill>
              <w14:schemeClr w14:val="tx1"/>
            </w14:solidFill>
          </w14:textFill>
        </w:rPr>
        <w:t>及授权委托人身份证原件；信用查询（信用信息查询渠道：信用中国、中国政府采购网信用山东）网站截图加盖公章，</w:t>
      </w:r>
      <w:r>
        <w:rPr>
          <w:rFonts w:hint="eastAsia" w:ascii="仿宋" w:hAnsi="仿宋" w:eastAsia="仿宋" w:cs="Arial"/>
          <w:color w:val="000000" w:themeColor="text1"/>
          <w:sz w:val="28"/>
          <w:szCs w:val="28"/>
          <w:highlight w:val="none"/>
          <w14:textFill>
            <w14:solidFill>
              <w14:schemeClr w14:val="tx1"/>
            </w14:solidFill>
          </w14:textFill>
        </w:rPr>
        <w:t>通过审查合格后方可获取</w:t>
      </w:r>
      <w:r>
        <w:rPr>
          <w:rFonts w:hint="eastAsia" w:ascii="仿宋" w:hAnsi="仿宋" w:eastAsia="仿宋" w:cs="Arial"/>
          <w:color w:val="000000" w:themeColor="text1"/>
          <w:sz w:val="28"/>
          <w:szCs w:val="28"/>
          <w:highlight w:val="none"/>
          <w:lang w:val="en-US" w:eastAsia="zh-CN"/>
          <w14:textFill>
            <w14:solidFill>
              <w14:schemeClr w14:val="tx1"/>
            </w14:solidFill>
          </w14:textFill>
        </w:rPr>
        <w:t>有效的</w:t>
      </w:r>
      <w:r>
        <w:rPr>
          <w:rFonts w:hint="eastAsia" w:ascii="仿宋" w:hAnsi="仿宋" w:eastAsia="仿宋" w:cs="Arial"/>
          <w:color w:val="000000" w:themeColor="text1"/>
          <w:sz w:val="28"/>
          <w:szCs w:val="28"/>
          <w:highlight w:val="none"/>
          <w:lang w:eastAsia="zh-CN"/>
          <w14:textFill>
            <w14:solidFill>
              <w14:schemeClr w14:val="tx1"/>
            </w14:solidFill>
          </w14:textFill>
        </w:rPr>
        <w:t>采购文件</w:t>
      </w:r>
      <w:r>
        <w:rPr>
          <w:rFonts w:hint="eastAsia" w:ascii="仿宋" w:hAnsi="仿宋" w:eastAsia="仿宋" w:cs="Arial"/>
          <w:color w:val="000000" w:themeColor="text1"/>
          <w:sz w:val="28"/>
          <w:szCs w:val="28"/>
          <w:highlight w:val="none"/>
          <w14:textFill>
            <w14:solidFill>
              <w14:schemeClr w14:val="tx1"/>
            </w14:solidFill>
          </w14:textFill>
        </w:rPr>
        <w:t>，同时携带以上材料的复印件（加盖供应商公章）一套。</w:t>
      </w:r>
    </w:p>
    <w:p w14:paraId="6D902075">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备注：获取</w:t>
      </w:r>
      <w:r>
        <w:rPr>
          <w:rFonts w:hint="eastAsia" w:ascii="仿宋" w:hAnsi="仿宋" w:eastAsia="仿宋" w:cs="仿宋"/>
          <w:b/>
          <w:color w:val="000000" w:themeColor="text1"/>
          <w:sz w:val="28"/>
          <w:highlight w:val="none"/>
          <w:lang w:eastAsia="zh-CN"/>
          <w14:textFill>
            <w14:solidFill>
              <w14:schemeClr w14:val="tx1"/>
            </w14:solidFill>
          </w14:textFill>
        </w:rPr>
        <w:t>采购文件</w:t>
      </w:r>
      <w:r>
        <w:rPr>
          <w:rFonts w:hint="eastAsia" w:ascii="仿宋" w:hAnsi="仿宋" w:eastAsia="仿宋" w:cs="仿宋"/>
          <w:b/>
          <w:color w:val="000000" w:themeColor="text1"/>
          <w:sz w:val="28"/>
          <w:highlight w:val="none"/>
          <w14:textFill>
            <w14:solidFill>
              <w14:schemeClr w14:val="tx1"/>
            </w14:solidFill>
          </w14:textFill>
        </w:rPr>
        <w:t>时所提供的资料查验不代表资格审查的最终通过或合格，</w:t>
      </w:r>
      <w:r>
        <w:rPr>
          <w:rFonts w:hint="eastAsia" w:ascii="仿宋" w:hAnsi="仿宋" w:eastAsia="仿宋" w:cs="仿宋"/>
          <w:b/>
          <w:color w:val="000000" w:themeColor="text1"/>
          <w:sz w:val="28"/>
          <w:highlight w:val="none"/>
          <w:lang w:eastAsia="zh-CN"/>
          <w14:textFill>
            <w14:solidFill>
              <w14:schemeClr w14:val="tx1"/>
            </w14:solidFill>
          </w14:textFill>
        </w:rPr>
        <w:t>供应商</w:t>
      </w:r>
      <w:r>
        <w:rPr>
          <w:rFonts w:hint="eastAsia" w:ascii="仿宋" w:hAnsi="仿宋" w:eastAsia="仿宋" w:cs="仿宋"/>
          <w:b/>
          <w:color w:val="000000" w:themeColor="text1"/>
          <w:sz w:val="28"/>
          <w:highlight w:val="none"/>
          <w14:textFill>
            <w14:solidFill>
              <w14:schemeClr w14:val="tx1"/>
            </w14:solidFill>
          </w14:textFill>
        </w:rPr>
        <w:t>最终资格的确认以</w:t>
      </w:r>
      <w:r>
        <w:rPr>
          <w:rFonts w:hint="eastAsia" w:ascii="仿宋" w:hAnsi="仿宋" w:eastAsia="仿宋" w:cs="仿宋"/>
          <w:b/>
          <w:color w:val="000000" w:themeColor="text1"/>
          <w:sz w:val="28"/>
          <w:highlight w:val="none"/>
          <w:lang w:val="en-US" w:eastAsia="zh-CN"/>
          <w14:textFill>
            <w14:solidFill>
              <w14:schemeClr w14:val="tx1"/>
            </w14:solidFill>
          </w14:textFill>
        </w:rPr>
        <w:t>磋商小组</w:t>
      </w:r>
      <w:r>
        <w:rPr>
          <w:rFonts w:hint="eastAsia" w:ascii="仿宋" w:hAnsi="仿宋" w:eastAsia="仿宋" w:cs="仿宋"/>
          <w:b/>
          <w:color w:val="000000" w:themeColor="text1"/>
          <w:sz w:val="28"/>
          <w:highlight w:val="none"/>
          <w14:textFill>
            <w14:solidFill>
              <w14:schemeClr w14:val="tx1"/>
            </w14:solidFill>
          </w14:textFill>
        </w:rPr>
        <w:t>资格后审为准。</w:t>
      </w:r>
    </w:p>
    <w:p w14:paraId="4A03D2FA">
      <w:pPr>
        <w:keepNext w:val="0"/>
        <w:keepLines w:val="0"/>
        <w:pageBreakBefore w:val="0"/>
        <w:widowControl/>
        <w:kinsoku/>
        <w:wordWrap/>
        <w:overflowPunct/>
        <w:topLinePunct w:val="0"/>
        <w:bidi w:val="0"/>
        <w:spacing w:line="480" w:lineRule="exact"/>
        <w:textAlignment w:val="auto"/>
        <w:rPr>
          <w:rFonts w:hint="eastAsia" w:ascii="仿宋" w:hAnsi="仿宋" w:eastAsia="仿宋" w:cs="Arial"/>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Arial"/>
          <w:b w:val="0"/>
          <w:bCs/>
          <w:color w:val="000000" w:themeColor="text1"/>
          <w:sz w:val="28"/>
          <w:szCs w:val="28"/>
          <w:highlight w:val="none"/>
          <w:lang w:val="en-US" w:eastAsia="zh-CN"/>
          <w14:textFill>
            <w14:solidFill>
              <w14:schemeClr w14:val="tx1"/>
            </w14:solidFill>
          </w14:textFill>
        </w:rPr>
        <w:t>四、递交响应文件时间及地点:</w:t>
      </w:r>
    </w:p>
    <w:p w14:paraId="0840F97D">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1.时间：</w:t>
      </w:r>
      <w:r>
        <w:rPr>
          <w:rFonts w:hint="eastAsia" w:ascii="仿宋" w:hAnsi="仿宋" w:eastAsia="仿宋"/>
          <w:color w:val="000000" w:themeColor="text1"/>
          <w:sz w:val="28"/>
          <w:szCs w:val="28"/>
          <w:highlight w:val="none"/>
          <w:lang w:eastAsia="zh-CN"/>
          <w14:textFill>
            <w14:solidFill>
              <w14:schemeClr w14:val="tx1"/>
            </w14:solidFill>
          </w14:textFill>
        </w:rPr>
        <w:t>2024年</w:t>
      </w:r>
      <w:r>
        <w:rPr>
          <w:rFonts w:hint="eastAsia" w:ascii="仿宋" w:hAnsi="仿宋" w:eastAsia="仿宋"/>
          <w:color w:val="000000" w:themeColor="text1"/>
          <w:sz w:val="28"/>
          <w:szCs w:val="28"/>
          <w:highlight w:val="none"/>
          <w:lang w:val="en-US" w:eastAsia="zh-CN"/>
          <w14:textFill>
            <w14:solidFill>
              <w14:schemeClr w14:val="tx1"/>
            </w14:solidFill>
          </w14:textFill>
        </w:rPr>
        <w:t>12</w:t>
      </w:r>
      <w:r>
        <w:rPr>
          <w:rFonts w:hint="eastAsia" w:ascii="仿宋" w:hAnsi="仿宋" w:eastAsia="仿宋"/>
          <w:color w:val="000000" w:themeColor="text1"/>
          <w:sz w:val="28"/>
          <w:szCs w:val="28"/>
          <w:highlight w:val="none"/>
          <w:lang w:eastAsia="zh-CN"/>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lang w:eastAsia="zh-CN"/>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14</w:t>
      </w:r>
      <w:r>
        <w:rPr>
          <w:rFonts w:hint="eastAsia" w:ascii="仿宋" w:hAnsi="仿宋" w:eastAsia="仿宋"/>
          <w:color w:val="000000" w:themeColor="text1"/>
          <w:sz w:val="28"/>
          <w:szCs w:val="28"/>
          <w:highlight w:val="none"/>
          <w:lang w:eastAsia="zh-CN"/>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00</w:t>
      </w:r>
      <w:r>
        <w:rPr>
          <w:rFonts w:hint="eastAsia" w:ascii="仿宋" w:hAnsi="仿宋" w:eastAsia="仿宋"/>
          <w:color w:val="000000" w:themeColor="text1"/>
          <w:sz w:val="28"/>
          <w:szCs w:val="28"/>
          <w:highlight w:val="none"/>
          <w:lang w:eastAsia="zh-CN"/>
          <w14:textFill>
            <w14:solidFill>
              <w14:schemeClr w14:val="tx1"/>
            </w14:solidFill>
          </w14:textFill>
        </w:rPr>
        <w:t>分至2024年</w:t>
      </w:r>
      <w:r>
        <w:rPr>
          <w:rFonts w:hint="eastAsia" w:ascii="仿宋" w:hAnsi="仿宋" w:eastAsia="仿宋"/>
          <w:color w:val="000000" w:themeColor="text1"/>
          <w:sz w:val="28"/>
          <w:szCs w:val="28"/>
          <w:highlight w:val="none"/>
          <w:lang w:val="en-US" w:eastAsia="zh-CN"/>
          <w14:textFill>
            <w14:solidFill>
              <w14:schemeClr w14:val="tx1"/>
            </w14:solidFill>
          </w14:textFill>
        </w:rPr>
        <w:t>12</w:t>
      </w:r>
      <w:r>
        <w:rPr>
          <w:rFonts w:hint="eastAsia" w:ascii="仿宋" w:hAnsi="仿宋" w:eastAsia="仿宋"/>
          <w:color w:val="000000" w:themeColor="text1"/>
          <w:sz w:val="28"/>
          <w:szCs w:val="28"/>
          <w:highlight w:val="none"/>
          <w:lang w:eastAsia="zh-CN"/>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lang w:eastAsia="zh-CN"/>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14</w:t>
      </w:r>
      <w:r>
        <w:rPr>
          <w:rFonts w:hint="eastAsia" w:ascii="仿宋" w:hAnsi="仿宋" w:eastAsia="仿宋"/>
          <w:color w:val="000000" w:themeColor="text1"/>
          <w:sz w:val="28"/>
          <w:szCs w:val="28"/>
          <w:highlight w:val="none"/>
          <w:lang w:eastAsia="zh-CN"/>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lang w:eastAsia="zh-CN"/>
          <w14:textFill>
            <w14:solidFill>
              <w14:schemeClr w14:val="tx1"/>
            </w14:solidFill>
          </w14:textFill>
        </w:rPr>
        <w:t>分</w:t>
      </w:r>
      <w:r>
        <w:rPr>
          <w:rFonts w:hint="eastAsia" w:ascii="仿宋" w:hAnsi="仿宋" w:eastAsia="仿宋"/>
          <w:color w:val="000000" w:themeColor="text1"/>
          <w:sz w:val="28"/>
          <w:szCs w:val="28"/>
          <w:highlight w:val="none"/>
          <w14:textFill>
            <w14:solidFill>
              <w14:schemeClr w14:val="tx1"/>
            </w14:solidFill>
          </w14:textFill>
        </w:rPr>
        <w:t>（北京时间）</w:t>
      </w:r>
    </w:p>
    <w:p w14:paraId="5471E7BF">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000000" w:themeColor="text1"/>
          <w:kern w:val="0"/>
          <w:sz w:val="28"/>
          <w:szCs w:val="28"/>
          <w:highlight w:val="none"/>
          <w:lang w:eastAsia="zh-CN"/>
          <w14:textFill>
            <w14:solidFill>
              <w14:schemeClr w14:val="tx1"/>
            </w14:solidFill>
          </w14:textFill>
        </w:rPr>
      </w:pPr>
      <w:r>
        <w:rPr>
          <w:rFonts w:ascii="仿宋" w:hAnsi="仿宋" w:eastAsia="仿宋" w:cs="宋体"/>
          <w:bCs/>
          <w:color w:val="000000" w:themeColor="text1"/>
          <w:kern w:val="0"/>
          <w:sz w:val="28"/>
          <w:szCs w:val="28"/>
          <w:highlight w:val="none"/>
          <w14:textFill>
            <w14:solidFill>
              <w14:schemeClr w14:val="tx1"/>
            </w14:solidFill>
          </w14:textFill>
        </w:rPr>
        <w:t>⒉地点：</w:t>
      </w:r>
      <w:r>
        <w:rPr>
          <w:rFonts w:hint="eastAsia" w:ascii="仿宋" w:hAnsi="仿宋" w:eastAsia="仿宋"/>
          <w:color w:val="000000" w:themeColor="text1"/>
          <w:kern w:val="0"/>
          <w:sz w:val="28"/>
          <w:szCs w:val="28"/>
          <w:highlight w:val="none"/>
          <w:lang w:eastAsia="zh-CN"/>
          <w14:textFill>
            <w14:solidFill>
              <w14:schemeClr w14:val="tx1"/>
            </w14:solidFill>
          </w14:textFill>
        </w:rPr>
        <w:t>微山县人民医院1号病房楼10楼会议室</w:t>
      </w:r>
    </w:p>
    <w:p w14:paraId="3E61630D">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五</w:t>
      </w:r>
      <w:r>
        <w:rPr>
          <w:rFonts w:hint="eastAsia" w:ascii="仿宋" w:hAnsi="仿宋" w:eastAsia="仿宋" w:cs="宋体"/>
          <w:b w:val="0"/>
          <w:bCs/>
          <w:color w:val="000000"/>
          <w:kern w:val="0"/>
          <w:sz w:val="28"/>
          <w:szCs w:val="28"/>
          <w:highlight w:val="none"/>
        </w:rPr>
        <w:t>、磋商报价时间及地点：</w:t>
      </w:r>
    </w:p>
    <w:p w14:paraId="1725D15C">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sz w:val="28"/>
          <w:szCs w:val="28"/>
          <w:highlight w:val="none"/>
        </w:rPr>
        <w:t>1.时间</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2024年</w:t>
      </w:r>
      <w:r>
        <w:rPr>
          <w:rFonts w:hint="eastAsia" w:ascii="仿宋" w:hAnsi="仿宋" w:eastAsia="仿宋"/>
          <w:color w:val="000000" w:themeColor="text1"/>
          <w:sz w:val="28"/>
          <w:szCs w:val="28"/>
          <w:highlight w:val="none"/>
          <w:lang w:val="en-US" w:eastAsia="zh-CN"/>
          <w14:textFill>
            <w14:solidFill>
              <w14:schemeClr w14:val="tx1"/>
            </w14:solidFill>
          </w14:textFill>
        </w:rPr>
        <w:t>12</w:t>
      </w:r>
      <w:r>
        <w:rPr>
          <w:rFonts w:hint="eastAsia" w:ascii="仿宋" w:hAnsi="仿宋" w:eastAsia="仿宋"/>
          <w:color w:val="000000" w:themeColor="text1"/>
          <w:sz w:val="28"/>
          <w:szCs w:val="28"/>
          <w:highlight w:val="none"/>
          <w:lang w:eastAsia="zh-CN"/>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lang w:eastAsia="zh-CN"/>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14</w:t>
      </w:r>
      <w:r>
        <w:rPr>
          <w:rFonts w:hint="eastAsia" w:ascii="仿宋" w:hAnsi="仿宋" w:eastAsia="仿宋"/>
          <w:color w:val="000000" w:themeColor="text1"/>
          <w:sz w:val="28"/>
          <w:szCs w:val="28"/>
          <w:highlight w:val="none"/>
          <w:lang w:eastAsia="zh-CN"/>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lang w:eastAsia="zh-CN"/>
          <w14:textFill>
            <w14:solidFill>
              <w14:schemeClr w14:val="tx1"/>
            </w14:solidFill>
          </w14:textFill>
        </w:rPr>
        <w:t>分</w:t>
      </w:r>
      <w:r>
        <w:rPr>
          <w:rFonts w:hint="eastAsia" w:ascii="仿宋" w:hAnsi="仿宋" w:eastAsia="仿宋"/>
          <w:color w:val="000000" w:themeColor="text1"/>
          <w:sz w:val="28"/>
          <w:szCs w:val="28"/>
          <w:highlight w:val="none"/>
          <w14:textFill>
            <w14:solidFill>
              <w14:schemeClr w14:val="tx1"/>
            </w14:solidFill>
          </w14:textFill>
        </w:rPr>
        <w:t>（北京时间）</w:t>
      </w:r>
    </w:p>
    <w:p w14:paraId="0AB88B15">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2.地点：</w:t>
      </w:r>
      <w:r>
        <w:rPr>
          <w:rFonts w:hint="eastAsia" w:ascii="仿宋" w:hAnsi="仿宋" w:eastAsia="仿宋"/>
          <w:color w:val="000000"/>
          <w:sz w:val="28"/>
          <w:szCs w:val="28"/>
          <w:highlight w:val="none"/>
          <w:lang w:eastAsia="zh-CN"/>
        </w:rPr>
        <w:t>微山县人民医院1号病房楼10楼会议室</w:t>
      </w:r>
    </w:p>
    <w:p w14:paraId="77468E0C">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3.联系方式：</w:t>
      </w:r>
      <w:r>
        <w:rPr>
          <w:rFonts w:hint="eastAsia" w:ascii="仿宋" w:hAnsi="仿宋" w:eastAsia="仿宋"/>
          <w:color w:val="000000"/>
          <w:sz w:val="28"/>
          <w:szCs w:val="28"/>
          <w:highlight w:val="none"/>
          <w:lang w:eastAsia="zh-CN"/>
        </w:rPr>
        <w:t>15653726001</w:t>
      </w:r>
    </w:p>
    <w:p w14:paraId="690DA1B5">
      <w:pPr>
        <w:pStyle w:val="8"/>
        <w:jc w:val="both"/>
        <w:rPr>
          <w:rFonts w:hint="eastAsia" w:ascii="仿宋" w:hAnsi="仿宋" w:eastAsia="仿宋" w:cs="宋体"/>
          <w:color w:val="000000"/>
          <w:kern w:val="0"/>
          <w:sz w:val="28"/>
          <w:szCs w:val="28"/>
          <w:highlight w:val="none"/>
        </w:rPr>
      </w:pPr>
    </w:p>
    <w:p w14:paraId="7E63E110">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14:paraId="37E0F7C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14:paraId="576DC0E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68"/>
        <w:gridCol w:w="6701"/>
      </w:tblGrid>
      <w:tr w14:paraId="6B4A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6" w:type="dxa"/>
            <w:vAlign w:val="center"/>
          </w:tcPr>
          <w:p w14:paraId="64532932">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68" w:type="dxa"/>
            <w:vAlign w:val="center"/>
          </w:tcPr>
          <w:p w14:paraId="34E7875D">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701" w:type="dxa"/>
            <w:vAlign w:val="center"/>
          </w:tcPr>
          <w:p w14:paraId="559916CB">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14:paraId="6981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17CECC0">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968" w:type="dxa"/>
            <w:vAlign w:val="center"/>
          </w:tcPr>
          <w:p w14:paraId="741F16E2">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701" w:type="dxa"/>
            <w:vAlign w:val="center"/>
          </w:tcPr>
          <w:p w14:paraId="4AC9CDF1">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14:paraId="78765F01">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微山县城后路10号</w:t>
            </w:r>
          </w:p>
          <w:p w14:paraId="650A2241">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 xml:space="preserve">王主任 </w:t>
            </w:r>
          </w:p>
          <w:p w14:paraId="7AFB98AF">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15653726001 </w:t>
            </w:r>
          </w:p>
        </w:tc>
      </w:tr>
      <w:tr w14:paraId="64B3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46" w:type="dxa"/>
            <w:vAlign w:val="center"/>
          </w:tcPr>
          <w:p w14:paraId="4BD16B2D">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968" w:type="dxa"/>
            <w:vAlign w:val="center"/>
          </w:tcPr>
          <w:p w14:paraId="64599700">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701" w:type="dxa"/>
            <w:vAlign w:val="center"/>
          </w:tcPr>
          <w:p w14:paraId="633B4292">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14:paraId="31B6D79E">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址：微山县微湖道96-4号</w:t>
            </w:r>
          </w:p>
          <w:p w14:paraId="1E3C79C4">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张工、姜工</w:t>
            </w:r>
          </w:p>
          <w:p w14:paraId="51332E74">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15563760277、13105475797</w:t>
            </w:r>
          </w:p>
        </w:tc>
      </w:tr>
      <w:tr w14:paraId="6162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C9F308B">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968" w:type="dxa"/>
            <w:vAlign w:val="center"/>
          </w:tcPr>
          <w:p w14:paraId="10764339">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701" w:type="dxa"/>
            <w:vAlign w:val="center"/>
          </w:tcPr>
          <w:p w14:paraId="55D6ED55">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为提升医院智慧医疗、精准医疗的社会服务能力，我院开展应用三维医学影像手术计划数据处理服务</w:t>
            </w:r>
            <w:r>
              <w:rPr>
                <w:rFonts w:hint="eastAsia" w:ascii="仿宋" w:hAnsi="仿宋" w:eastAsia="仿宋"/>
                <w:bCs/>
                <w:sz w:val="28"/>
                <w:szCs w:val="28"/>
                <w:highlight w:val="none"/>
                <w:lang w:eastAsia="zh-CN"/>
              </w:rPr>
              <w:t>，</w:t>
            </w:r>
            <w:r>
              <w:rPr>
                <w:rFonts w:hint="eastAsia" w:ascii="仿宋" w:hAnsi="仿宋" w:eastAsia="仿宋"/>
                <w:bCs/>
                <w:sz w:val="28"/>
                <w:szCs w:val="28"/>
                <w:highlight w:val="none"/>
              </w:rPr>
              <w:t>具体内容详见第五部分项目说明及要求。</w:t>
            </w:r>
          </w:p>
        </w:tc>
      </w:tr>
      <w:tr w14:paraId="4672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14:paraId="265DAB1A">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968" w:type="dxa"/>
            <w:vAlign w:val="center"/>
          </w:tcPr>
          <w:p w14:paraId="116E3B26">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项目服务地点</w:t>
            </w:r>
          </w:p>
        </w:tc>
        <w:tc>
          <w:tcPr>
            <w:tcW w:w="6701" w:type="dxa"/>
            <w:vAlign w:val="center"/>
          </w:tcPr>
          <w:p w14:paraId="18A589A1">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14:paraId="1468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14:paraId="72A3FC5B">
            <w:pPr>
              <w:pStyle w:val="10"/>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5</w:t>
            </w:r>
          </w:p>
        </w:tc>
        <w:tc>
          <w:tcPr>
            <w:tcW w:w="1968" w:type="dxa"/>
            <w:vAlign w:val="center"/>
          </w:tcPr>
          <w:p w14:paraId="0B7F1A71">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合同履行期限</w:t>
            </w:r>
          </w:p>
        </w:tc>
        <w:tc>
          <w:tcPr>
            <w:tcW w:w="6701" w:type="dxa"/>
            <w:vAlign w:val="center"/>
          </w:tcPr>
          <w:p w14:paraId="7D8823F2">
            <w:pPr>
              <w:pStyle w:val="10"/>
              <w:spacing w:line="400" w:lineRule="exact"/>
              <w:rPr>
                <w:rFonts w:hint="eastAsia" w:ascii="仿宋" w:hAnsi="仿宋" w:eastAsia="仿宋" w:cs="Times New Roman"/>
                <w:bCs/>
                <w:sz w:val="28"/>
                <w:szCs w:val="28"/>
                <w:highlight w:val="none"/>
                <w:lang w:eastAsia="zh-CN"/>
              </w:rPr>
            </w:pPr>
            <w:r>
              <w:rPr>
                <w:rFonts w:hint="eastAsia" w:ascii="仿宋" w:hAnsi="仿宋" w:eastAsia="仿宋" w:cs="Times New Roman"/>
                <w:bCs/>
                <w:sz w:val="28"/>
                <w:szCs w:val="28"/>
                <w:highlight w:val="none"/>
                <w:lang w:eastAsia="zh-CN"/>
              </w:rPr>
              <w:t>自合同签订之日起2年。（合同实行一年一签）</w:t>
            </w:r>
          </w:p>
        </w:tc>
      </w:tr>
      <w:tr w14:paraId="4E86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46" w:type="dxa"/>
            <w:vAlign w:val="center"/>
          </w:tcPr>
          <w:p w14:paraId="1418B76A">
            <w:pPr>
              <w:pStyle w:val="10"/>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6</w:t>
            </w:r>
          </w:p>
        </w:tc>
        <w:tc>
          <w:tcPr>
            <w:tcW w:w="1968" w:type="dxa"/>
            <w:vAlign w:val="center"/>
          </w:tcPr>
          <w:p w14:paraId="0FE64111">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服务响应期</w:t>
            </w:r>
          </w:p>
        </w:tc>
        <w:tc>
          <w:tcPr>
            <w:tcW w:w="6701" w:type="dxa"/>
            <w:vAlign w:val="center"/>
          </w:tcPr>
          <w:p w14:paraId="02D89A4F">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收到采购人数据处理服务需求信息，≤30分钟响应，导入影像数据后，所提供的重建结果≤8个工作小时完成。</w:t>
            </w:r>
          </w:p>
        </w:tc>
      </w:tr>
      <w:tr w14:paraId="52EA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14:paraId="2F30878C">
            <w:pPr>
              <w:pStyle w:val="10"/>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7</w:t>
            </w:r>
          </w:p>
        </w:tc>
        <w:tc>
          <w:tcPr>
            <w:tcW w:w="1968" w:type="dxa"/>
            <w:vAlign w:val="center"/>
          </w:tcPr>
          <w:p w14:paraId="02E2CF88">
            <w:pPr>
              <w:pStyle w:val="10"/>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资金来源</w:t>
            </w:r>
          </w:p>
        </w:tc>
        <w:tc>
          <w:tcPr>
            <w:tcW w:w="6701" w:type="dxa"/>
            <w:vAlign w:val="center"/>
          </w:tcPr>
          <w:p w14:paraId="7DDBC749">
            <w:pPr>
              <w:pStyle w:val="10"/>
              <w:spacing w:line="400" w:lineRule="exact"/>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自筹资金</w:t>
            </w:r>
          </w:p>
        </w:tc>
      </w:tr>
      <w:tr w14:paraId="3477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46" w:type="dxa"/>
            <w:vAlign w:val="center"/>
          </w:tcPr>
          <w:p w14:paraId="1CAD3836">
            <w:pPr>
              <w:pStyle w:val="10"/>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8</w:t>
            </w:r>
          </w:p>
        </w:tc>
        <w:tc>
          <w:tcPr>
            <w:tcW w:w="1968" w:type="dxa"/>
            <w:vAlign w:val="center"/>
          </w:tcPr>
          <w:p w14:paraId="57323224">
            <w:pPr>
              <w:pStyle w:val="10"/>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付款方式</w:t>
            </w:r>
          </w:p>
        </w:tc>
        <w:tc>
          <w:tcPr>
            <w:tcW w:w="6701" w:type="dxa"/>
            <w:vAlign w:val="center"/>
          </w:tcPr>
          <w:p w14:paraId="61CC7A01">
            <w:pPr>
              <w:pStyle w:val="10"/>
              <w:spacing w:line="400" w:lineRule="exact"/>
              <w:rPr>
                <w:rFonts w:hint="eastAsia" w:ascii="仿宋" w:hAnsi="仿宋" w:eastAsia="仿宋" w:cs="Times New Roman"/>
                <w:bCs/>
                <w:kern w:val="2"/>
                <w:sz w:val="28"/>
                <w:szCs w:val="28"/>
                <w:highlight w:val="none"/>
                <w:lang w:val="en-US" w:eastAsia="zh-CN" w:bidi="ar-SA"/>
              </w:rPr>
            </w:pPr>
            <w:r>
              <w:rPr>
                <w:rFonts w:hint="eastAsia" w:ascii="仿宋" w:hAnsi="仿宋" w:eastAsia="仿宋" w:cs="Times New Roman"/>
                <w:bCs/>
                <w:kern w:val="2"/>
                <w:sz w:val="28"/>
                <w:szCs w:val="28"/>
                <w:highlight w:val="none"/>
                <w:lang w:val="en-US" w:eastAsia="zh-CN" w:bidi="ar-SA"/>
              </w:rPr>
              <w:t>每季度按照实际服务数量计取服务费用，次月全额无息支付。</w:t>
            </w:r>
          </w:p>
          <w:p w14:paraId="7B9FB86F">
            <w:pPr>
              <w:pStyle w:val="10"/>
              <w:spacing w:line="400" w:lineRule="exact"/>
              <w:rPr>
                <w:rFonts w:hint="default" w:ascii="仿宋" w:hAnsi="仿宋" w:eastAsia="仿宋" w:cs="Times New Roman"/>
                <w:bCs/>
                <w:kern w:val="2"/>
                <w:sz w:val="28"/>
                <w:szCs w:val="28"/>
                <w:highlight w:val="none"/>
                <w:lang w:val="en-US" w:eastAsia="zh-CN" w:bidi="ar-SA"/>
              </w:rPr>
            </w:pPr>
            <w:r>
              <w:rPr>
                <w:rFonts w:hint="eastAsia" w:ascii="仿宋" w:hAnsi="仿宋" w:eastAsia="仿宋" w:cs="Times New Roman"/>
                <w:b/>
                <w:bCs w:val="0"/>
                <w:kern w:val="2"/>
                <w:sz w:val="28"/>
                <w:szCs w:val="28"/>
                <w:highlight w:val="none"/>
                <w:lang w:val="en-US" w:eastAsia="zh-CN" w:bidi="ar-SA"/>
              </w:rPr>
              <w:t>服务费用=实际服务数量*</w:t>
            </w:r>
            <w:r>
              <w:rPr>
                <w:rFonts w:hint="eastAsia" w:ascii="仿宋" w:hAnsi="仿宋" w:eastAsia="仿宋"/>
                <w:b/>
                <w:bCs w:val="0"/>
                <w:sz w:val="28"/>
                <w:szCs w:val="28"/>
                <w:highlight w:val="none"/>
                <w:lang w:val="en-US" w:eastAsia="zh-CN"/>
              </w:rPr>
              <w:t>医院收费标准</w:t>
            </w:r>
            <w:r>
              <w:rPr>
                <w:rFonts w:hint="eastAsia" w:ascii="仿宋" w:hAnsi="仿宋" w:eastAsia="仿宋" w:cs="Times New Roman"/>
                <w:b/>
                <w:bCs w:val="0"/>
                <w:kern w:val="2"/>
                <w:sz w:val="28"/>
                <w:szCs w:val="28"/>
                <w:highlight w:val="none"/>
                <w:lang w:val="en-US" w:eastAsia="zh-CN" w:bidi="ar-SA"/>
              </w:rPr>
              <w:t>*成交费率</w:t>
            </w:r>
          </w:p>
        </w:tc>
      </w:tr>
      <w:tr w14:paraId="3F61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46" w:type="dxa"/>
            <w:vAlign w:val="center"/>
          </w:tcPr>
          <w:p w14:paraId="53C620A5">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9</w:t>
            </w:r>
          </w:p>
        </w:tc>
        <w:tc>
          <w:tcPr>
            <w:tcW w:w="1968" w:type="dxa"/>
            <w:vAlign w:val="center"/>
          </w:tcPr>
          <w:p w14:paraId="5AE17DA0">
            <w:pPr>
              <w:pStyle w:val="10"/>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eastAsia="zh-CN"/>
              </w:rPr>
              <w:t>质量标准</w:t>
            </w:r>
          </w:p>
        </w:tc>
        <w:tc>
          <w:tcPr>
            <w:tcW w:w="6701" w:type="dxa"/>
            <w:vAlign w:val="center"/>
          </w:tcPr>
          <w:p w14:paraId="1E394518">
            <w:pPr>
              <w:pStyle w:val="10"/>
              <w:spacing w:line="400" w:lineRule="exact"/>
              <w:rPr>
                <w:rFonts w:hint="eastAsia" w:ascii="仿宋" w:hAnsi="仿宋" w:eastAsia="仿宋" w:cs="Times New Roman"/>
                <w:bCs/>
                <w:kern w:val="2"/>
                <w:sz w:val="28"/>
                <w:szCs w:val="28"/>
                <w:highlight w:val="none"/>
                <w:lang w:val="en-US" w:eastAsia="zh-CN" w:bidi="ar-SA"/>
              </w:rPr>
            </w:pPr>
            <w:r>
              <w:rPr>
                <w:rFonts w:hint="eastAsia" w:ascii="仿宋" w:hAnsi="仿宋" w:eastAsia="仿宋"/>
                <w:sz w:val="28"/>
                <w:szCs w:val="28"/>
                <w:highlight w:val="none"/>
                <w:lang w:val="en-US" w:eastAsia="zh-CN"/>
              </w:rPr>
              <w:t>合格，符合国家、行业、地方等合格标准、规范。包括3D可视化模型标准和三维重建说明标准。</w:t>
            </w:r>
          </w:p>
        </w:tc>
      </w:tr>
      <w:tr w14:paraId="0503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AC5CC69">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10</w:t>
            </w:r>
          </w:p>
        </w:tc>
        <w:tc>
          <w:tcPr>
            <w:tcW w:w="1968" w:type="dxa"/>
            <w:vAlign w:val="center"/>
          </w:tcPr>
          <w:p w14:paraId="1DAF9B28">
            <w:pPr>
              <w:pStyle w:val="10"/>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供应商</w:t>
            </w:r>
          </w:p>
          <w:p w14:paraId="2D09358B">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资格条件</w:t>
            </w:r>
          </w:p>
        </w:tc>
        <w:tc>
          <w:tcPr>
            <w:tcW w:w="6701" w:type="dxa"/>
            <w:vAlign w:val="center"/>
          </w:tcPr>
          <w:p w14:paraId="6F92DA6D">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14:paraId="4D013E19">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14:paraId="2EF99F1A">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14:paraId="08DA3C50">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14:paraId="573FF2E5">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14:paraId="3EF5C1AB">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14:paraId="384FF15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七、</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14:paraId="7A9340EC">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14:paraId="44991E4D">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ascii="仿宋" w:hAnsi="仿宋" w:eastAsia="仿宋"/>
                <w:bCs/>
                <w:sz w:val="28"/>
                <w:szCs w:val="28"/>
                <w:highlight w:val="none"/>
              </w:rPr>
            </w:pPr>
            <w:r>
              <w:rPr>
                <w:rFonts w:hint="eastAsia" w:ascii="仿宋" w:hAnsi="仿宋" w:eastAsia="仿宋"/>
                <w:color w:val="000000"/>
                <w:sz w:val="28"/>
                <w:szCs w:val="28"/>
                <w:highlight w:val="none"/>
              </w:rPr>
              <w:t>本项目资格审查方式：资格后审。</w:t>
            </w:r>
          </w:p>
        </w:tc>
      </w:tr>
      <w:tr w14:paraId="10B2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3FD1458">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1968" w:type="dxa"/>
            <w:vAlign w:val="center"/>
          </w:tcPr>
          <w:p w14:paraId="0EA5C250">
            <w:pPr>
              <w:pStyle w:val="10"/>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w:t>
            </w:r>
          </w:p>
          <w:p w14:paraId="50EFFD50">
            <w:pPr>
              <w:pStyle w:val="10"/>
              <w:spacing w:line="400" w:lineRule="exact"/>
              <w:jc w:val="center"/>
              <w:rPr>
                <w:rFonts w:ascii="仿宋" w:hAnsi="仿宋" w:eastAsia="仿宋"/>
                <w:bCs/>
                <w:sz w:val="28"/>
                <w:szCs w:val="28"/>
                <w:highlight w:val="none"/>
              </w:rPr>
            </w:pPr>
            <w:r>
              <w:rPr>
                <w:rFonts w:ascii="仿宋" w:hAnsi="仿宋" w:eastAsia="仿宋"/>
                <w:bCs/>
                <w:sz w:val="28"/>
                <w:szCs w:val="28"/>
                <w:highlight w:val="none"/>
              </w:rPr>
              <w:t>联合体</w:t>
            </w:r>
          </w:p>
        </w:tc>
        <w:tc>
          <w:tcPr>
            <w:tcW w:w="6701" w:type="dxa"/>
            <w:vAlign w:val="center"/>
          </w:tcPr>
          <w:p w14:paraId="032F701D">
            <w:pPr>
              <w:pStyle w:val="10"/>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14:paraId="6412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6" w:type="dxa"/>
            <w:vAlign w:val="center"/>
          </w:tcPr>
          <w:p w14:paraId="309A86B8">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12</w:t>
            </w:r>
          </w:p>
        </w:tc>
        <w:tc>
          <w:tcPr>
            <w:tcW w:w="1968" w:type="dxa"/>
            <w:vAlign w:val="center"/>
          </w:tcPr>
          <w:p w14:paraId="0D9EE3AA">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701" w:type="dxa"/>
            <w:vAlign w:val="center"/>
          </w:tcPr>
          <w:p w14:paraId="657C319F">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14:paraId="3A9B3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14:paraId="67169FF2">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3</w:t>
            </w:r>
          </w:p>
        </w:tc>
        <w:tc>
          <w:tcPr>
            <w:tcW w:w="1968" w:type="dxa"/>
            <w:vAlign w:val="center"/>
          </w:tcPr>
          <w:p w14:paraId="3331339B">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701" w:type="dxa"/>
            <w:vAlign w:val="center"/>
          </w:tcPr>
          <w:p w14:paraId="2F83FE18">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90天﹙从报价截止之日算起﹚。</w:t>
            </w:r>
          </w:p>
        </w:tc>
      </w:tr>
      <w:tr w14:paraId="554A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97AF0AD">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14</w:t>
            </w:r>
          </w:p>
        </w:tc>
        <w:tc>
          <w:tcPr>
            <w:tcW w:w="1968" w:type="dxa"/>
            <w:vAlign w:val="center"/>
          </w:tcPr>
          <w:p w14:paraId="3A8B5843">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费率控制价</w:t>
            </w:r>
          </w:p>
        </w:tc>
        <w:tc>
          <w:tcPr>
            <w:tcW w:w="6701" w:type="dxa"/>
            <w:vAlign w:val="center"/>
          </w:tcPr>
          <w:p w14:paraId="529BB9FA">
            <w:pPr>
              <w:pStyle w:val="10"/>
              <w:spacing w:line="400" w:lineRule="exact"/>
              <w:rPr>
                <w:rFonts w:hint="eastAsia" w:ascii="仿宋" w:hAnsi="仿宋" w:eastAsia="仿宋"/>
                <w:b/>
                <w:bCs w:val="0"/>
                <w:sz w:val="28"/>
                <w:szCs w:val="28"/>
                <w:highlight w:val="none"/>
              </w:rPr>
            </w:pPr>
            <w:r>
              <w:rPr>
                <w:rFonts w:hint="eastAsia" w:ascii="仿宋" w:hAnsi="仿宋" w:eastAsia="仿宋"/>
                <w:b/>
                <w:bCs w:val="0"/>
                <w:sz w:val="28"/>
                <w:szCs w:val="28"/>
                <w:highlight w:val="none"/>
              </w:rPr>
              <w:t>本项目费率控制价为：</w:t>
            </w:r>
            <w:r>
              <w:rPr>
                <w:rFonts w:hint="eastAsia" w:ascii="仿宋" w:hAnsi="仿宋" w:eastAsia="仿宋"/>
                <w:b/>
                <w:bCs w:val="0"/>
                <w:sz w:val="28"/>
                <w:szCs w:val="28"/>
                <w:highlight w:val="none"/>
                <w:lang w:val="en-US" w:eastAsia="zh-CN"/>
              </w:rPr>
              <w:t>医院收费标准的30%</w:t>
            </w:r>
            <w:r>
              <w:rPr>
                <w:rFonts w:hint="eastAsia" w:ascii="仿宋" w:hAnsi="仿宋" w:eastAsia="仿宋"/>
                <w:b/>
                <w:bCs w:val="0"/>
                <w:sz w:val="28"/>
                <w:szCs w:val="28"/>
                <w:highlight w:val="none"/>
              </w:rPr>
              <w:t>。</w:t>
            </w:r>
          </w:p>
          <w:p w14:paraId="5EA2380C">
            <w:pPr>
              <w:pStyle w:val="10"/>
              <w:spacing w:line="400" w:lineRule="exact"/>
              <w:ind w:firstLine="562" w:firstLineChars="200"/>
              <w:rPr>
                <w:rFonts w:ascii="仿宋" w:hAnsi="仿宋" w:eastAsia="仿宋"/>
                <w:bCs/>
                <w:sz w:val="28"/>
                <w:szCs w:val="28"/>
                <w:highlight w:val="none"/>
              </w:rPr>
            </w:pPr>
            <w:r>
              <w:rPr>
                <w:rFonts w:hint="eastAsia" w:ascii="仿宋" w:hAnsi="仿宋" w:eastAsia="仿宋"/>
                <w:b/>
                <w:bCs w:val="0"/>
                <w:sz w:val="28"/>
                <w:szCs w:val="28"/>
                <w:highlight w:val="none"/>
                <w:lang w:val="en-US" w:eastAsia="zh-CN"/>
              </w:rPr>
              <w:t>供应商的报价不得超过费率控制价，超出费率控制价的报价按</w:t>
            </w:r>
            <w:r>
              <w:rPr>
                <w:rFonts w:hint="eastAsia" w:ascii="仿宋" w:hAnsi="仿宋" w:eastAsia="仿宋"/>
                <w:b/>
                <w:bCs w:val="0"/>
                <w:color w:val="FF0000"/>
                <w:sz w:val="28"/>
                <w:szCs w:val="28"/>
                <w:highlight w:val="none"/>
                <w:u w:val="single"/>
                <w:lang w:val="en-US" w:eastAsia="zh-CN"/>
              </w:rPr>
              <w:t>无效</w:t>
            </w:r>
            <w:r>
              <w:rPr>
                <w:rFonts w:hint="eastAsia" w:ascii="仿宋" w:hAnsi="仿宋" w:eastAsia="仿宋"/>
                <w:b/>
                <w:bCs w:val="0"/>
                <w:sz w:val="28"/>
                <w:szCs w:val="28"/>
                <w:highlight w:val="none"/>
                <w:lang w:val="en-US" w:eastAsia="zh-CN"/>
              </w:rPr>
              <w:t>报价处理。</w:t>
            </w:r>
          </w:p>
        </w:tc>
      </w:tr>
      <w:tr w14:paraId="2732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7F8E85D">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1968" w:type="dxa"/>
            <w:vAlign w:val="center"/>
          </w:tcPr>
          <w:p w14:paraId="78D5C0CE">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6701" w:type="dxa"/>
            <w:vAlign w:val="center"/>
          </w:tcPr>
          <w:p w14:paraId="6F5DB845">
            <w:pPr>
              <w:pStyle w:val="10"/>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14:paraId="08F3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6E809AD">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16</w:t>
            </w:r>
          </w:p>
        </w:tc>
        <w:tc>
          <w:tcPr>
            <w:tcW w:w="1968" w:type="dxa"/>
            <w:vAlign w:val="center"/>
          </w:tcPr>
          <w:p w14:paraId="6AF0FC0E">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6701" w:type="dxa"/>
            <w:vAlign w:val="center"/>
          </w:tcPr>
          <w:p w14:paraId="3E3242B4">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14:paraId="38995BB4">
            <w:pPr>
              <w:pStyle w:val="10"/>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14:paraId="34C2B945">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14:paraId="6E21E60D">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14:paraId="249851B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53112927">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14:paraId="4ECC095D">
            <w:pPr>
              <w:spacing w:line="400" w:lineRule="exact"/>
              <w:ind w:firstLine="840" w:firstLineChars="300"/>
              <w:rPr>
                <w:rFonts w:hint="eastAsia"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信息查询的截止时点：递交</w:t>
            </w:r>
            <w:r>
              <w:rPr>
                <w:rFonts w:hint="eastAsia" w:ascii="仿宋" w:hAnsi="仿宋" w:eastAsia="仿宋" w:cs="宋体"/>
                <w:color w:val="000000" w:themeColor="text1"/>
                <w:sz w:val="28"/>
                <w:szCs w:val="28"/>
                <w:highlight w:val="none"/>
                <w:lang w:eastAsia="zh-CN"/>
                <w14:textFill>
                  <w14:solidFill>
                    <w14:schemeClr w14:val="tx1"/>
                  </w14:solidFill>
                </w14:textFill>
              </w:rPr>
              <w:t>响应文件</w:t>
            </w:r>
            <w:r>
              <w:rPr>
                <w:rFonts w:hint="eastAsia" w:ascii="仿宋" w:hAnsi="仿宋" w:eastAsia="仿宋" w:cs="宋体"/>
                <w:color w:val="000000" w:themeColor="text1"/>
                <w:sz w:val="28"/>
                <w:szCs w:val="28"/>
                <w:highlight w:val="none"/>
                <w14:textFill>
                  <w14:solidFill>
                    <w14:schemeClr w14:val="tx1"/>
                  </w14:solidFill>
                </w14:textFill>
              </w:rPr>
              <w:t>的截止时间；</w:t>
            </w:r>
          </w:p>
          <w:p w14:paraId="6C8DF1F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14:paraId="78444303">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14:paraId="0214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8E1111C">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17</w:t>
            </w:r>
          </w:p>
        </w:tc>
        <w:tc>
          <w:tcPr>
            <w:tcW w:w="1968" w:type="dxa"/>
            <w:vAlign w:val="center"/>
          </w:tcPr>
          <w:p w14:paraId="6B309090">
            <w:pPr>
              <w:pStyle w:val="10"/>
              <w:spacing w:line="400" w:lineRule="exact"/>
              <w:jc w:val="center"/>
              <w:rPr>
                <w:rFonts w:hint="eastAsia" w:ascii="仿宋" w:hAnsi="仿宋" w:eastAsia="仿宋"/>
                <w:bCs/>
                <w:sz w:val="28"/>
                <w:szCs w:val="28"/>
                <w:highlight w:val="none"/>
              </w:rPr>
            </w:pPr>
            <w:r>
              <w:rPr>
                <w:rFonts w:hint="eastAsia" w:ascii="仿宋" w:hAnsi="仿宋" w:eastAsia="仿宋" w:cs="宋体"/>
                <w:color w:val="000000"/>
                <w:sz w:val="28"/>
                <w:szCs w:val="28"/>
                <w:highlight w:val="none"/>
                <w:lang w:val="en-US" w:eastAsia="zh-CN"/>
              </w:rPr>
              <w:t>知识产权</w:t>
            </w:r>
          </w:p>
        </w:tc>
        <w:tc>
          <w:tcPr>
            <w:tcW w:w="6701" w:type="dxa"/>
            <w:vAlign w:val="center"/>
          </w:tcPr>
          <w:p w14:paraId="2137ECB9">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color w:val="000000"/>
                <w:sz w:val="28"/>
                <w:szCs w:val="28"/>
                <w:highlight w:val="none"/>
              </w:rPr>
              <w:t>供应商必须对所提供的服务等知识产权方面的一切产权关系负全部责任，由此而引起的法律纠纷以及费用供应商须全部承担。</w:t>
            </w:r>
          </w:p>
        </w:tc>
      </w:tr>
      <w:tr w14:paraId="6FDE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14:paraId="67E7C4B0">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1968" w:type="dxa"/>
            <w:vAlign w:val="center"/>
          </w:tcPr>
          <w:p w14:paraId="12A9FB5C">
            <w:pPr>
              <w:pStyle w:val="10"/>
              <w:spacing w:line="400" w:lineRule="exact"/>
              <w:jc w:val="center"/>
              <w:rPr>
                <w:rFonts w:ascii="仿宋" w:hAnsi="仿宋" w:eastAsia="仿宋"/>
                <w:bCs/>
                <w:sz w:val="28"/>
                <w:szCs w:val="28"/>
                <w:highlight w:val="none"/>
              </w:rPr>
            </w:pPr>
          </w:p>
        </w:tc>
        <w:tc>
          <w:tcPr>
            <w:tcW w:w="6701" w:type="dxa"/>
            <w:vAlign w:val="center"/>
          </w:tcPr>
          <w:p w14:paraId="2F90DD54">
            <w:pPr>
              <w:pStyle w:val="10"/>
              <w:spacing w:line="400" w:lineRule="exact"/>
              <w:ind w:firstLine="562" w:firstLineChars="200"/>
              <w:rPr>
                <w:rFonts w:ascii="仿宋" w:hAnsi="仿宋" w:eastAsia="仿宋"/>
                <w:b/>
                <w:bCs/>
                <w:sz w:val="28"/>
                <w:szCs w:val="28"/>
                <w:highlight w:val="none"/>
              </w:rPr>
            </w:pPr>
          </w:p>
        </w:tc>
      </w:tr>
    </w:tbl>
    <w:p w14:paraId="781495EC">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一、定</w:t>
      </w:r>
      <w:r>
        <w:rPr>
          <w:rFonts w:hint="eastAsia" w:ascii="仿宋" w:hAnsi="仿宋" w:eastAsia="仿宋" w:cs="宋体"/>
          <w:b/>
          <w:bCs/>
          <w:sz w:val="28"/>
          <w:szCs w:val="28"/>
          <w:highlight w:val="none"/>
        </w:rPr>
        <w:t>义：</w:t>
      </w:r>
    </w:p>
    <w:p w14:paraId="5FB614ED">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14:paraId="10B59697">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的法人或其他组织、自然人。</w:t>
      </w:r>
    </w:p>
    <w:p w14:paraId="3E7F3689">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14:paraId="51E4CF21">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14:paraId="664484F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14:paraId="0CDC1C77">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一、具有独立承担民事责任的能力；</w:t>
      </w:r>
    </w:p>
    <w:p w14:paraId="4AC9B93D">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二、具有良好的商业信誉和健全的财务会计制度；</w:t>
      </w:r>
    </w:p>
    <w:p w14:paraId="2F68CEB8">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三、具有履行合同所必需的设备和专业技术能力；</w:t>
      </w:r>
    </w:p>
    <w:p w14:paraId="68322F3E">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四、有依法缴纳税收和社会保障资金的良好记录；</w:t>
      </w:r>
    </w:p>
    <w:p w14:paraId="04EB7473">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五、参加政府采购活动前三年内，在经营活动中没有重大违法记录；</w:t>
      </w:r>
    </w:p>
    <w:p w14:paraId="6860FABA">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六、一个供应商只能提交一个响应文件。单位负责人为同一人或者存在直接控股、管理关系的不同供应商，不得参加同一合同项下的政府采购活动；法律、行政法规规定的其他条件；</w:t>
      </w:r>
    </w:p>
    <w:p w14:paraId="6EFFCEAB">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七、未被列入失信被执行人名单、重大税收违法案件当事人名单、政府采购严重违法失信行为记录名单，信用信息查询渠道：“信用中国”网站（www.creditchina.gov.cn）、中国政府采购网（ http://www.ccgp.gov.cn/ ）、“信用山东”网站（http://credit.shandong.gov.cn/）。</w:t>
      </w:r>
    </w:p>
    <w:p w14:paraId="1205A809">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本项目不接受联合体报价；</w:t>
      </w:r>
    </w:p>
    <w:p w14:paraId="32F50F2D">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本项目资格审查方式：资格后审。</w:t>
      </w:r>
    </w:p>
    <w:p w14:paraId="5D1181A8">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14:paraId="6280DB9B">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14:paraId="1B600C6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14:paraId="59AE1A4B">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14:paraId="44046C5E">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14:paraId="75186EED">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color w:val="FF0000"/>
          <w:sz w:val="28"/>
          <w:szCs w:val="28"/>
          <w:highlight w:val="none"/>
          <w:lang w:eastAsia="zh-CN"/>
        </w:rPr>
        <w:t>2024年</w:t>
      </w:r>
      <w:r>
        <w:rPr>
          <w:rFonts w:hint="eastAsia" w:ascii="仿宋" w:hAnsi="仿宋" w:eastAsia="仿宋" w:cs="宋体"/>
          <w:color w:val="FF0000"/>
          <w:sz w:val="28"/>
          <w:szCs w:val="28"/>
          <w:highlight w:val="none"/>
          <w:lang w:val="en-US" w:eastAsia="zh-CN"/>
        </w:rPr>
        <w:t>11</w:t>
      </w:r>
      <w:r>
        <w:rPr>
          <w:rFonts w:hint="eastAsia" w:ascii="仿宋" w:hAnsi="仿宋" w:eastAsia="仿宋" w:cs="宋体"/>
          <w:color w:val="FF0000"/>
          <w:sz w:val="28"/>
          <w:szCs w:val="28"/>
          <w:highlight w:val="none"/>
          <w:lang w:eastAsia="zh-CN"/>
        </w:rPr>
        <w:t>月</w:t>
      </w:r>
      <w:r>
        <w:rPr>
          <w:rFonts w:hint="eastAsia" w:ascii="仿宋" w:hAnsi="仿宋" w:eastAsia="仿宋" w:cs="宋体"/>
          <w:color w:val="FF0000"/>
          <w:sz w:val="28"/>
          <w:szCs w:val="28"/>
          <w:highlight w:val="none"/>
          <w:lang w:val="en-US" w:eastAsia="zh-CN"/>
        </w:rPr>
        <w:t>26</w:t>
      </w:r>
      <w:r>
        <w:rPr>
          <w:rFonts w:hint="eastAsia" w:ascii="仿宋" w:hAnsi="仿宋" w:eastAsia="仿宋" w:cs="宋体"/>
          <w:color w:val="FF0000"/>
          <w:sz w:val="28"/>
          <w:szCs w:val="28"/>
          <w:highlight w:val="none"/>
        </w:rPr>
        <w:t>日1</w:t>
      </w:r>
      <w:r>
        <w:rPr>
          <w:rFonts w:hint="eastAsia" w:ascii="仿宋" w:hAnsi="仿宋" w:eastAsia="仿宋" w:cs="宋体"/>
          <w:color w:val="FF0000"/>
          <w:sz w:val="28"/>
          <w:szCs w:val="28"/>
          <w:highlight w:val="none"/>
          <w:lang w:val="en-US" w:eastAsia="zh-CN"/>
        </w:rPr>
        <w:t>7：30</w:t>
      </w:r>
      <w:r>
        <w:rPr>
          <w:rFonts w:hint="eastAsia" w:ascii="仿宋" w:hAnsi="仿宋" w:eastAsia="仿宋" w:cs="宋体"/>
          <w:color w:val="auto"/>
          <w:sz w:val="28"/>
          <w:szCs w:val="28"/>
          <w:highlight w:val="none"/>
        </w:rPr>
        <w:t>时前通知到采购</w:t>
      </w:r>
      <w:r>
        <w:rPr>
          <w:rFonts w:hint="eastAsia" w:ascii="仿宋" w:hAnsi="仿宋" w:eastAsia="仿宋" w:cs="宋体"/>
          <w:color w:val="auto"/>
          <w:sz w:val="28"/>
          <w:szCs w:val="28"/>
          <w:highlight w:val="none"/>
          <w:lang w:val="en-US" w:eastAsia="zh-CN"/>
        </w:rPr>
        <w:t>人</w:t>
      </w:r>
      <w:r>
        <w:rPr>
          <w:rFonts w:hint="eastAsia" w:ascii="仿宋" w:hAnsi="仿宋" w:eastAsia="仿宋" w:cs="宋体"/>
          <w:color w:val="auto"/>
          <w:sz w:val="28"/>
          <w:szCs w:val="28"/>
          <w:highlight w:val="none"/>
        </w:rPr>
        <w:t>。</w:t>
      </w:r>
    </w:p>
    <w:p w14:paraId="15B50C6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14:paraId="521C924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制作的，须在采购文件要求</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14:paraId="7E8B74B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14:paraId="15FD4EEE">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w:t>
      </w:r>
      <w:r>
        <w:rPr>
          <w:rFonts w:hint="eastAsia" w:ascii="仿宋" w:hAnsi="仿宋" w:eastAsia="仿宋" w:cs="宋体"/>
          <w:b/>
          <w:bCs/>
          <w:sz w:val="28"/>
          <w:szCs w:val="28"/>
          <w:highlight w:val="none"/>
          <w:lang w:eastAsia="zh-CN"/>
        </w:rPr>
        <w:t>响应文件</w:t>
      </w:r>
      <w:r>
        <w:rPr>
          <w:rFonts w:hint="eastAsia" w:ascii="仿宋" w:hAnsi="仿宋" w:eastAsia="仿宋" w:cs="宋体"/>
          <w:b/>
          <w:bCs/>
          <w:sz w:val="28"/>
          <w:szCs w:val="28"/>
          <w:highlight w:val="none"/>
        </w:rPr>
        <w:t>的编写：</w:t>
      </w:r>
    </w:p>
    <w:p w14:paraId="4FEFE15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6C753DA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14:paraId="238BDDF2">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14:paraId="0BB8EB92">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中所使用的计量单位应使用中华人民共和国法定计量单位。</w:t>
      </w:r>
    </w:p>
    <w:p w14:paraId="4B98856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的组成：</w:t>
      </w:r>
    </w:p>
    <w:p w14:paraId="557BD8BF">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s="宋体"/>
          <w:sz w:val="28"/>
          <w:szCs w:val="28"/>
          <w:highlight w:val="none"/>
          <w:lang w:val="en-US" w:eastAsia="zh-CN"/>
        </w:rPr>
        <w:t>报价部分</w:t>
      </w:r>
    </w:p>
    <w:p w14:paraId="689C3A4A">
      <w:pPr>
        <w:widowControl/>
        <w:adjustRightInd w:val="0"/>
        <w:snapToGrid w:val="0"/>
        <w:spacing w:line="400" w:lineRule="exact"/>
        <w:ind w:firstLine="560" w:firstLineChars="200"/>
        <w:rPr>
          <w:rFonts w:hint="default"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rPr>
        <w:t>（1）</w:t>
      </w:r>
      <w:r>
        <w:rPr>
          <w:rFonts w:hint="eastAsia" w:ascii="仿宋" w:hAnsi="仿宋" w:eastAsia="仿宋" w:cs="宋体"/>
          <w:b w:val="0"/>
          <w:bCs w:val="0"/>
          <w:sz w:val="28"/>
          <w:szCs w:val="28"/>
          <w:highlight w:val="none"/>
          <w:lang w:val="en-US" w:eastAsia="zh-CN"/>
        </w:rPr>
        <w:t>报价函</w:t>
      </w:r>
    </w:p>
    <w:p w14:paraId="319BA125">
      <w:pPr>
        <w:widowControl/>
        <w:adjustRightInd w:val="0"/>
        <w:snapToGrid w:val="0"/>
        <w:spacing w:line="400" w:lineRule="exact"/>
        <w:ind w:firstLine="560" w:firstLineChars="200"/>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rPr>
        <w:t>（2）报价一览表；</w:t>
      </w:r>
      <w:r>
        <w:rPr>
          <w:rFonts w:hint="eastAsia" w:ascii="仿宋" w:hAnsi="仿宋" w:eastAsia="仿宋" w:cs="宋体"/>
          <w:b w:val="0"/>
          <w:bCs w:val="0"/>
          <w:sz w:val="28"/>
          <w:szCs w:val="28"/>
          <w:highlight w:val="none"/>
          <w:lang w:val="en-US" w:eastAsia="zh-CN"/>
        </w:rPr>
        <w:t xml:space="preserve">             </w:t>
      </w:r>
    </w:p>
    <w:p w14:paraId="41F72E03">
      <w:pPr>
        <w:widowControl/>
        <w:adjustRightInd w:val="0"/>
        <w:snapToGrid w:val="0"/>
        <w:spacing w:line="400" w:lineRule="exact"/>
        <w:ind w:firstLine="560" w:firstLineChars="200"/>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lang w:eastAsia="zh-CN"/>
        </w:rPr>
        <w:t>（</w:t>
      </w:r>
      <w:r>
        <w:rPr>
          <w:rFonts w:hint="eastAsia" w:ascii="仿宋" w:hAnsi="仿宋" w:eastAsia="仿宋" w:cs="宋体"/>
          <w:b w:val="0"/>
          <w:bCs w:val="0"/>
          <w:sz w:val="28"/>
          <w:szCs w:val="28"/>
          <w:highlight w:val="none"/>
          <w:lang w:val="en-US" w:eastAsia="zh-CN"/>
        </w:rPr>
        <w:t>3</w:t>
      </w:r>
      <w:r>
        <w:rPr>
          <w:rFonts w:hint="eastAsia" w:ascii="仿宋" w:hAnsi="仿宋" w:eastAsia="仿宋" w:cs="宋体"/>
          <w:b w:val="0"/>
          <w:bCs w:val="0"/>
          <w:sz w:val="28"/>
          <w:szCs w:val="28"/>
          <w:highlight w:val="none"/>
          <w:lang w:eastAsia="zh-CN"/>
        </w:rPr>
        <w:t>）供应商认为需要提交的其他资料</w:t>
      </w:r>
      <w:r>
        <w:rPr>
          <w:rFonts w:hint="eastAsia" w:ascii="仿宋" w:hAnsi="仿宋" w:eastAsia="仿宋" w:cs="宋体"/>
          <w:b w:val="0"/>
          <w:bCs w:val="0"/>
          <w:sz w:val="28"/>
          <w:szCs w:val="28"/>
          <w:highlight w:val="none"/>
        </w:rPr>
        <w:t>；</w:t>
      </w:r>
    </w:p>
    <w:p w14:paraId="58CA258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14:paraId="53BD8D3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①</w:t>
      </w:r>
      <w:r>
        <w:rPr>
          <w:rFonts w:hint="eastAsia" w:ascii="仿宋" w:hAnsi="仿宋" w:eastAsia="仿宋" w:cs="宋体"/>
          <w:sz w:val="28"/>
          <w:szCs w:val="28"/>
          <w:highlight w:val="none"/>
        </w:rPr>
        <w:t>本次报价非一次性报价，第二次报价为最终报价，本次报价为完税后的价格。</w:t>
      </w:r>
    </w:p>
    <w:p w14:paraId="08A8221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②</w:t>
      </w:r>
      <w:r>
        <w:rPr>
          <w:rFonts w:hint="eastAsia" w:ascii="仿宋" w:hAnsi="仿宋" w:eastAsia="仿宋" w:cs="宋体"/>
          <w:sz w:val="28"/>
          <w:szCs w:val="28"/>
          <w:highlight w:val="none"/>
        </w:rPr>
        <w:t>报价币种：人民币。</w:t>
      </w:r>
    </w:p>
    <w:p w14:paraId="5F9714C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③</w:t>
      </w:r>
      <w:r>
        <w:rPr>
          <w:rFonts w:hint="eastAsia" w:ascii="仿宋" w:hAnsi="仿宋" w:eastAsia="仿宋" w:cs="宋体"/>
          <w:sz w:val="28"/>
          <w:szCs w:val="28"/>
          <w:highlight w:val="none"/>
        </w:rPr>
        <w:t>供应商在报价时只能提供一个方案，且此方案只允许有一个报价。</w:t>
      </w:r>
    </w:p>
    <w:p w14:paraId="4F7B2C1A">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④</w:t>
      </w:r>
      <w:r>
        <w:rPr>
          <w:rFonts w:hint="eastAsia" w:ascii="仿宋" w:hAnsi="仿宋" w:eastAsia="仿宋" w:cs="宋体"/>
          <w:sz w:val="28"/>
          <w:szCs w:val="28"/>
          <w:highlight w:val="none"/>
        </w:rPr>
        <w:t>报价由供应商结合项目情况自行填报。</w:t>
      </w:r>
    </w:p>
    <w:p w14:paraId="1D79BE3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报价出现前后不一致的，除采购文件另有规定外，按照下列规定修正：</w:t>
      </w:r>
    </w:p>
    <w:p w14:paraId="230CD6B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a.</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中报价一览表内容与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中相应内容不一致的，以报价</w:t>
      </w:r>
      <w:r>
        <w:rPr>
          <w:rFonts w:hint="eastAsia" w:ascii="仿宋" w:hAnsi="仿宋" w:eastAsia="仿宋" w:cs="宋体"/>
          <w:sz w:val="28"/>
          <w:szCs w:val="28"/>
          <w:highlight w:val="none"/>
          <w:lang w:val="en-US" w:eastAsia="zh-CN"/>
        </w:rPr>
        <w:t>一览</w:t>
      </w:r>
      <w:r>
        <w:rPr>
          <w:rFonts w:hint="eastAsia" w:ascii="仿宋" w:hAnsi="仿宋" w:eastAsia="仿宋" w:cs="宋体"/>
          <w:sz w:val="28"/>
          <w:szCs w:val="28"/>
          <w:highlight w:val="none"/>
        </w:rPr>
        <w:t>表为准；</w:t>
      </w:r>
    </w:p>
    <w:p w14:paraId="2C6DEB2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b.</w:t>
      </w:r>
      <w:r>
        <w:rPr>
          <w:rFonts w:hint="eastAsia" w:ascii="仿宋" w:hAnsi="仿宋" w:eastAsia="仿宋" w:cs="宋体"/>
          <w:sz w:val="28"/>
          <w:szCs w:val="28"/>
          <w:highlight w:val="none"/>
        </w:rPr>
        <w:t>大写金额和小写金额不一致的，以大写金额为准；</w:t>
      </w:r>
    </w:p>
    <w:p w14:paraId="4DBDF025">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c.</w:t>
      </w:r>
      <w:r>
        <w:rPr>
          <w:rFonts w:hint="eastAsia" w:ascii="仿宋" w:hAnsi="仿宋" w:eastAsia="仿宋" w:cs="宋体"/>
          <w:sz w:val="28"/>
          <w:szCs w:val="28"/>
          <w:highlight w:val="none"/>
        </w:rPr>
        <w:t>单价金额小数点或者百分比有明显错位的，以报价表的总价为准，并修改单价；</w:t>
      </w:r>
    </w:p>
    <w:p w14:paraId="59F3273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d.</w:t>
      </w:r>
      <w:r>
        <w:rPr>
          <w:rFonts w:hint="eastAsia" w:ascii="仿宋" w:hAnsi="仿宋" w:eastAsia="仿宋" w:cs="宋体"/>
          <w:sz w:val="28"/>
          <w:szCs w:val="28"/>
          <w:highlight w:val="none"/>
        </w:rPr>
        <w:t>总价金额与按单价汇总金额不一致的，以单价金额计算结果为准。</w:t>
      </w:r>
    </w:p>
    <w:p w14:paraId="7FACE032">
      <w:pPr>
        <w:widowControl/>
        <w:adjustRightInd w:val="0"/>
        <w:snapToGrid w:val="0"/>
        <w:spacing w:line="400" w:lineRule="exact"/>
        <w:ind w:firstLine="562" w:firstLineChars="2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14:paraId="7F2B181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、资格、资质证明文件：</w:t>
      </w:r>
    </w:p>
    <w:p w14:paraId="214B1B5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w:t>
      </w:r>
    </w:p>
    <w:p w14:paraId="4232B7FA">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）法定代表人身份证明或授权委托书；</w:t>
      </w:r>
    </w:p>
    <w:p w14:paraId="59B3BD12">
      <w:pPr>
        <w:widowControl/>
        <w:adjustRightInd w:val="0"/>
        <w:snapToGrid w:val="0"/>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）具备履行合同所必需的设备和专业技术能力的证明材料</w:t>
      </w:r>
      <w:r>
        <w:rPr>
          <w:rFonts w:hint="eastAsia" w:ascii="仿宋" w:hAnsi="仿宋" w:eastAsia="仿宋" w:cs="宋体"/>
          <w:sz w:val="28"/>
          <w:szCs w:val="28"/>
          <w:highlight w:val="none"/>
          <w:lang w:val="en-US" w:eastAsia="zh-CN"/>
        </w:rPr>
        <w:t>；</w:t>
      </w:r>
    </w:p>
    <w:p w14:paraId="69FB8764">
      <w:pPr>
        <w:widowControl/>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缴纳税收和社会保障资金等证明告知承诺书</w:t>
      </w:r>
      <w:r>
        <w:rPr>
          <w:rFonts w:hint="eastAsia" w:ascii="仿宋" w:hAnsi="仿宋" w:eastAsia="仿宋" w:cs="宋体"/>
          <w:sz w:val="28"/>
          <w:szCs w:val="28"/>
          <w:highlight w:val="none"/>
          <w:lang w:val="en-US" w:eastAsia="zh-CN"/>
        </w:rPr>
        <w:t>；</w:t>
      </w:r>
    </w:p>
    <w:p w14:paraId="272C589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需要提供的其它相关资格证明文件。</w:t>
      </w:r>
    </w:p>
    <w:p w14:paraId="27BF745F">
      <w:pPr>
        <w:widowControl/>
        <w:numPr>
          <w:ilvl w:val="0"/>
          <w:numId w:val="0"/>
        </w:numPr>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kern w:val="2"/>
          <w:sz w:val="28"/>
          <w:szCs w:val="28"/>
          <w:highlight w:val="none"/>
          <w:lang w:val="en-US" w:eastAsia="zh-CN" w:bidi="ar-SA"/>
        </w:rPr>
        <w:t>3、</w:t>
      </w: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14:paraId="09813A6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olor w:val="auto"/>
          <w:sz w:val="28"/>
          <w:szCs w:val="28"/>
          <w:highlight w:val="none"/>
        </w:rPr>
        <w:t>与本项目相对应的技术资料</w:t>
      </w:r>
      <w:r>
        <w:rPr>
          <w:rFonts w:hint="eastAsia" w:ascii="仿宋" w:hAnsi="仿宋" w:eastAsia="仿宋" w:cs="宋体"/>
          <w:sz w:val="28"/>
          <w:szCs w:val="28"/>
          <w:highlight w:val="none"/>
        </w:rPr>
        <w:t>；</w:t>
      </w:r>
    </w:p>
    <w:p w14:paraId="123C9064">
      <w:pPr>
        <w:widowControl/>
        <w:adjustRightInd w:val="0"/>
        <w:snapToGrid w:val="0"/>
        <w:spacing w:line="400" w:lineRule="exact"/>
        <w:ind w:firstLine="560" w:firstLineChars="2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olor w:val="000000"/>
          <w:sz w:val="28"/>
          <w:szCs w:val="28"/>
          <w:highlight w:val="none"/>
          <w:lang w:val="en-US" w:eastAsia="zh-CN"/>
        </w:rPr>
        <w:t>评分办法技术部分涉及的相关内容（如有）</w:t>
      </w:r>
      <w:r>
        <w:rPr>
          <w:rFonts w:hint="eastAsia" w:ascii="仿宋" w:hAnsi="仿宋" w:eastAsia="仿宋" w:cs="宋体"/>
          <w:sz w:val="28"/>
          <w:szCs w:val="28"/>
          <w:highlight w:val="none"/>
          <w:lang w:val="en-US" w:eastAsia="zh-CN"/>
        </w:rPr>
        <w:t>；</w:t>
      </w:r>
    </w:p>
    <w:p w14:paraId="1DFFC4B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）供应商认为需要提交的其他资料。</w:t>
      </w:r>
    </w:p>
    <w:p w14:paraId="0A302C4B">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、其他</w:t>
      </w:r>
      <w:r>
        <w:rPr>
          <w:rFonts w:hint="eastAsia" w:ascii="仿宋" w:hAnsi="仿宋" w:eastAsia="仿宋" w:cs="宋体"/>
          <w:sz w:val="28"/>
          <w:szCs w:val="28"/>
          <w:highlight w:val="none"/>
          <w:lang w:val="en-US" w:eastAsia="zh-CN"/>
        </w:rPr>
        <w:t>材料</w:t>
      </w:r>
      <w:r>
        <w:rPr>
          <w:rFonts w:hint="eastAsia" w:ascii="仿宋" w:hAnsi="仿宋" w:eastAsia="仿宋" w:cs="宋体"/>
          <w:sz w:val="28"/>
          <w:szCs w:val="28"/>
          <w:highlight w:val="none"/>
        </w:rPr>
        <w:t>：</w:t>
      </w:r>
    </w:p>
    <w:p w14:paraId="10EEC93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olor w:val="000000"/>
          <w:sz w:val="28"/>
          <w:szCs w:val="28"/>
          <w:highlight w:val="none"/>
          <w:lang w:val="en-US" w:eastAsia="zh-CN"/>
        </w:rPr>
        <w:t>评分办法商务部分涉及的相关内容（如有）</w:t>
      </w:r>
      <w:r>
        <w:rPr>
          <w:rFonts w:hint="eastAsia" w:ascii="仿宋" w:hAnsi="仿宋" w:eastAsia="仿宋" w:cs="宋体"/>
          <w:sz w:val="28"/>
          <w:szCs w:val="28"/>
          <w:highlight w:val="none"/>
        </w:rPr>
        <w:t>；</w:t>
      </w:r>
    </w:p>
    <w:p w14:paraId="6A1C9ED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w:t>
      </w:r>
      <w:r>
        <w:rPr>
          <w:rStyle w:val="21"/>
          <w:rFonts w:hint="eastAsia" w:ascii="仿宋" w:hAnsi="仿宋" w:eastAsia="仿宋" w:cs="宋体"/>
          <w:b w:val="0"/>
          <w:kern w:val="0"/>
          <w:sz w:val="28"/>
          <w:szCs w:val="28"/>
          <w:highlight w:val="none"/>
          <w:lang w:val="en-US" w:eastAsia="zh-CN"/>
        </w:rPr>
        <w:t>承诺书；</w:t>
      </w:r>
    </w:p>
    <w:p w14:paraId="71422CE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供应商认为需要加以说明的其它内容。</w:t>
      </w:r>
    </w:p>
    <w:p w14:paraId="612C20F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14:paraId="33467F5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编写方式：</w:t>
      </w:r>
    </w:p>
    <w:p w14:paraId="126B889C">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正本和副本用A4幅面的纸张打印。</w:t>
      </w:r>
    </w:p>
    <w:p w14:paraId="1EB3A04E">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14:paraId="13193AC3">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14:paraId="79747B7D">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签署、盖章：</w:t>
      </w:r>
    </w:p>
    <w:p w14:paraId="75CD18B7">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p>
    <w:p w14:paraId="52CC4B9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的密封和标记：</w:t>
      </w:r>
    </w:p>
    <w:p w14:paraId="056EB396">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上要注明“正本”或“副本”字样，一旦正本和副本不一致，以正本为准。</w:t>
      </w:r>
    </w:p>
    <w:p w14:paraId="4A3891EF">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密封，并在封面明显处注明以下内容：</w:t>
      </w:r>
    </w:p>
    <w:p w14:paraId="4B404C50">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 项目编号、项目名称</w:t>
      </w:r>
    </w:p>
    <w:p w14:paraId="2FA51BE4">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14:paraId="0A979DBD">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14:paraId="33CAA57F">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14:paraId="5B3DA5D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的递交：</w:t>
      </w:r>
    </w:p>
    <w:p w14:paraId="55371F0D">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w:t>
      </w:r>
      <w:r>
        <w:rPr>
          <w:rFonts w:hint="eastAsia" w:ascii="仿宋" w:hAnsi="仿宋" w:eastAsia="仿宋" w:cs="宋体"/>
          <w:color w:val="auto"/>
          <w:sz w:val="28"/>
          <w:szCs w:val="28"/>
          <w:highlight w:val="none"/>
        </w:rPr>
        <w:t>时间：</w:t>
      </w:r>
      <w:r>
        <w:rPr>
          <w:rFonts w:hint="eastAsia" w:ascii="仿宋" w:hAnsi="仿宋" w:eastAsia="仿宋" w:cs="宋体"/>
          <w:color w:val="FF0000"/>
          <w:kern w:val="0"/>
          <w:sz w:val="28"/>
          <w:szCs w:val="28"/>
          <w:highlight w:val="none"/>
          <w:lang w:eastAsia="zh-CN"/>
        </w:rPr>
        <w:t>2024年</w:t>
      </w:r>
      <w:r>
        <w:rPr>
          <w:rFonts w:hint="eastAsia" w:ascii="仿宋" w:hAnsi="仿宋" w:eastAsia="仿宋" w:cs="宋体"/>
          <w:color w:val="FF0000"/>
          <w:kern w:val="0"/>
          <w:sz w:val="28"/>
          <w:szCs w:val="28"/>
          <w:highlight w:val="none"/>
          <w:lang w:val="en-US" w:eastAsia="zh-CN"/>
        </w:rPr>
        <w:t>12</w:t>
      </w:r>
      <w:r>
        <w:rPr>
          <w:rFonts w:hint="eastAsia" w:ascii="仿宋" w:hAnsi="仿宋" w:eastAsia="仿宋" w:cs="宋体"/>
          <w:color w:val="FF0000"/>
          <w:kern w:val="0"/>
          <w:sz w:val="28"/>
          <w:szCs w:val="28"/>
          <w:highlight w:val="none"/>
          <w:lang w:eastAsia="zh-CN"/>
        </w:rPr>
        <w:t>月</w:t>
      </w:r>
      <w:r>
        <w:rPr>
          <w:rFonts w:hint="eastAsia" w:ascii="仿宋" w:hAnsi="仿宋" w:eastAsia="仿宋" w:cs="宋体"/>
          <w:color w:val="FF0000"/>
          <w:kern w:val="0"/>
          <w:sz w:val="28"/>
          <w:szCs w:val="28"/>
          <w:highlight w:val="none"/>
          <w:lang w:val="en-US" w:eastAsia="zh-CN"/>
        </w:rPr>
        <w:t>4</w:t>
      </w:r>
      <w:r>
        <w:rPr>
          <w:rFonts w:hint="eastAsia" w:ascii="仿宋" w:hAnsi="仿宋" w:eastAsia="仿宋" w:cs="宋体"/>
          <w:color w:val="FF0000"/>
          <w:kern w:val="0"/>
          <w:sz w:val="28"/>
          <w:szCs w:val="28"/>
          <w:highlight w:val="none"/>
          <w:lang w:eastAsia="zh-CN"/>
        </w:rPr>
        <w:t>日</w:t>
      </w:r>
      <w:r>
        <w:rPr>
          <w:rFonts w:hint="eastAsia" w:ascii="仿宋" w:hAnsi="仿宋" w:eastAsia="仿宋" w:cs="宋体"/>
          <w:color w:val="FF0000"/>
          <w:kern w:val="0"/>
          <w:sz w:val="28"/>
          <w:szCs w:val="28"/>
          <w:highlight w:val="none"/>
          <w:lang w:val="en-US" w:eastAsia="zh-CN"/>
        </w:rPr>
        <w:t>14</w:t>
      </w:r>
      <w:r>
        <w:rPr>
          <w:rFonts w:hint="eastAsia" w:ascii="仿宋" w:hAnsi="仿宋" w:eastAsia="仿宋" w:cs="宋体"/>
          <w:color w:val="FF0000"/>
          <w:kern w:val="0"/>
          <w:sz w:val="28"/>
          <w:szCs w:val="28"/>
          <w:highlight w:val="none"/>
          <w:lang w:eastAsia="zh-CN"/>
        </w:rPr>
        <w:t>时</w:t>
      </w:r>
      <w:r>
        <w:rPr>
          <w:rFonts w:hint="eastAsia" w:ascii="仿宋" w:hAnsi="仿宋" w:eastAsia="仿宋" w:cs="宋体"/>
          <w:color w:val="FF0000"/>
          <w:kern w:val="0"/>
          <w:sz w:val="28"/>
          <w:szCs w:val="28"/>
          <w:highlight w:val="none"/>
          <w:lang w:val="en-US" w:eastAsia="zh-CN"/>
        </w:rPr>
        <w:t>30</w:t>
      </w:r>
      <w:r>
        <w:rPr>
          <w:rFonts w:hint="eastAsia" w:ascii="仿宋" w:hAnsi="仿宋" w:eastAsia="仿宋" w:cs="宋体"/>
          <w:color w:val="FF0000"/>
          <w:kern w:val="0"/>
          <w:sz w:val="28"/>
          <w:szCs w:val="28"/>
          <w:highlight w:val="none"/>
          <w:lang w:eastAsia="zh-CN"/>
        </w:rPr>
        <w:t>分</w:t>
      </w:r>
      <w:r>
        <w:rPr>
          <w:rFonts w:hint="eastAsia" w:ascii="仿宋" w:hAnsi="仿宋" w:eastAsia="仿宋" w:cs="宋体"/>
          <w:color w:val="auto"/>
          <w:sz w:val="28"/>
          <w:szCs w:val="28"/>
          <w:highlight w:val="none"/>
        </w:rPr>
        <w:t>（北京</w:t>
      </w:r>
      <w:r>
        <w:rPr>
          <w:rFonts w:hint="eastAsia" w:ascii="仿宋" w:hAnsi="仿宋" w:eastAsia="仿宋" w:cs="宋体"/>
          <w:sz w:val="28"/>
          <w:szCs w:val="28"/>
          <w:highlight w:val="none"/>
        </w:rPr>
        <w:t>时间）；</w:t>
      </w:r>
    </w:p>
    <w:p w14:paraId="6802ACEB">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递交地点：</w:t>
      </w:r>
      <w:r>
        <w:rPr>
          <w:rFonts w:hint="eastAsia" w:ascii="仿宋" w:hAnsi="仿宋" w:eastAsia="仿宋" w:cs="宋体"/>
          <w:sz w:val="28"/>
          <w:szCs w:val="28"/>
          <w:highlight w:val="none"/>
          <w:lang w:eastAsia="zh-CN"/>
        </w:rPr>
        <w:t>微山县人民医院1号病房楼10楼会议室</w:t>
      </w:r>
    </w:p>
    <w:p w14:paraId="17478891">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概不接受；</w:t>
      </w:r>
    </w:p>
    <w:p w14:paraId="61E198FD">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不予退还</w:t>
      </w:r>
    </w:p>
    <w:p w14:paraId="1B732858">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14:paraId="6BE80DEE">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14:paraId="6890751E">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签收：以供应商填报签到表为准。</w:t>
      </w:r>
    </w:p>
    <w:p w14:paraId="0B1C991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修改与撤回：</w:t>
      </w:r>
    </w:p>
    <w:p w14:paraId="1ADB811C">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14:paraId="6D66A4E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的一部分，份数和密封要求同</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一致。</w:t>
      </w:r>
    </w:p>
    <w:p w14:paraId="213BC0F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p>
    <w:p w14:paraId="7960BE82">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14:paraId="1911C72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11C9C3E7">
      <w:pPr>
        <w:pStyle w:val="1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14:paraId="4BB7BD13">
      <w:pPr>
        <w:spacing w:line="360" w:lineRule="exact"/>
        <w:outlineLvl w:val="1"/>
        <w:rPr>
          <w:rFonts w:hint="eastAsia" w:ascii="仿宋" w:hAnsi="仿宋" w:eastAsia="仿宋"/>
          <w:b/>
          <w:bCs/>
          <w:color w:val="000000"/>
          <w:sz w:val="28"/>
          <w:szCs w:val="28"/>
          <w:highlight w:val="none"/>
        </w:rPr>
      </w:pPr>
      <w:bookmarkStart w:id="0" w:name="_Toc14345"/>
      <w:bookmarkStart w:id="1" w:name="_Toc19846"/>
      <w:r>
        <w:rPr>
          <w:rFonts w:hint="eastAsia" w:ascii="仿宋" w:hAnsi="仿宋" w:eastAsia="仿宋"/>
          <w:b/>
          <w:bCs/>
          <w:color w:val="000000"/>
          <w:sz w:val="28"/>
          <w:szCs w:val="28"/>
          <w:highlight w:val="none"/>
        </w:rPr>
        <w:t>六、相关费用</w:t>
      </w:r>
      <w:bookmarkEnd w:id="0"/>
      <w:bookmarkEnd w:id="1"/>
    </w:p>
    <w:p w14:paraId="270E66C3">
      <w:pPr>
        <w:spacing w:line="36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1、</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供应商在签订合同前，按规定向代理机构交纳代理服务费，代理服务费按照国家发展改革委员会发改价格[2015]299号文件，执行市场调节价。</w:t>
      </w:r>
      <w:r>
        <w:rPr>
          <w:rFonts w:hint="eastAsia" w:ascii="仿宋" w:hAnsi="仿宋" w:eastAsia="仿宋"/>
          <w:color w:val="auto"/>
          <w:sz w:val="28"/>
          <w:szCs w:val="28"/>
          <w:highlight w:val="none"/>
        </w:rPr>
        <w:t>本项目代理费为</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4000</w:t>
      </w:r>
      <w:r>
        <w:rPr>
          <w:rFonts w:hint="eastAsia" w:ascii="仿宋" w:hAnsi="仿宋" w:eastAsia="仿宋"/>
          <w:color w:val="auto"/>
          <w:sz w:val="28"/>
          <w:szCs w:val="28"/>
          <w:highlight w:val="none"/>
        </w:rPr>
        <w:t>元</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由</w:t>
      </w:r>
      <w:r>
        <w:rPr>
          <w:rFonts w:hint="eastAsia" w:ascii="仿宋" w:hAnsi="仿宋" w:eastAsia="仿宋"/>
          <w:color w:val="auto"/>
          <w:sz w:val="28"/>
          <w:szCs w:val="28"/>
          <w:highlight w:val="none"/>
          <w:lang w:val="en-US" w:eastAsia="zh-CN"/>
        </w:rPr>
        <w:t>成交</w:t>
      </w:r>
      <w:r>
        <w:rPr>
          <w:rFonts w:hint="eastAsia" w:ascii="仿宋" w:hAnsi="仿宋" w:eastAsia="仿宋"/>
          <w:color w:val="auto"/>
          <w:sz w:val="28"/>
          <w:szCs w:val="28"/>
          <w:highlight w:val="none"/>
        </w:rPr>
        <w:t>供应商支</w:t>
      </w:r>
      <w:r>
        <w:rPr>
          <w:rFonts w:hint="eastAsia" w:ascii="仿宋" w:hAnsi="仿宋" w:eastAsia="仿宋"/>
          <w:color w:val="000000"/>
          <w:sz w:val="28"/>
          <w:szCs w:val="28"/>
          <w:highlight w:val="none"/>
        </w:rPr>
        <w:t>付。</w:t>
      </w:r>
    </w:p>
    <w:p w14:paraId="537CA857">
      <w:pPr>
        <w:spacing w:line="360" w:lineRule="exact"/>
        <w:ind w:firstLine="560" w:firstLineChars="200"/>
        <w:rPr>
          <w:rFonts w:ascii="宋体" w:hAnsi="宋体"/>
          <w:color w:val="000000"/>
          <w:sz w:val="24"/>
          <w:highlight w:val="none"/>
        </w:rPr>
      </w:pPr>
      <w:r>
        <w:rPr>
          <w:rFonts w:hint="eastAsia" w:ascii="仿宋" w:hAnsi="仿宋" w:eastAsia="仿宋"/>
          <w:color w:val="000000"/>
          <w:sz w:val="28"/>
          <w:szCs w:val="28"/>
          <w:highlight w:val="none"/>
        </w:rPr>
        <w:t>2、各供应商自行承担所有参与投标的有关费用。</w:t>
      </w:r>
    </w:p>
    <w:p w14:paraId="40C7E702">
      <w:pPr>
        <w:pStyle w:val="10"/>
        <w:spacing w:line="400" w:lineRule="exact"/>
        <w:ind w:firstLine="480" w:firstLineChars="200"/>
        <w:rPr>
          <w:highlight w:val="none"/>
        </w:rPr>
      </w:pPr>
      <w:r>
        <w:rPr>
          <w:highlight w:val="none"/>
        </w:rPr>
        <w:br w:type="page"/>
      </w:r>
    </w:p>
    <w:p w14:paraId="123102A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14:paraId="3F2FE5D4">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38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14:paraId="49E5DAF6">
      <w:pPr>
        <w:pStyle w:val="10"/>
        <w:keepNext w:val="0"/>
        <w:keepLines w:val="0"/>
        <w:pageBreakBefore w:val="0"/>
        <w:widowControl w:val="0"/>
        <w:kinsoku/>
        <w:wordWrap/>
        <w:overflowPunct/>
        <w:topLinePunct w:val="0"/>
        <w:autoSpaceDE/>
        <w:autoSpaceDN/>
        <w:bidi w:val="0"/>
        <w:spacing w:line="38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二、如出现下列情形之一的，视为对采购文件没有做出实质性响应，按照无效报价处理。</w:t>
      </w:r>
    </w:p>
    <w:p w14:paraId="5FB63E6B">
      <w:pPr>
        <w:keepNext w:val="0"/>
        <w:keepLines w:val="0"/>
        <w:pageBreakBefore w:val="0"/>
        <w:kinsoku/>
        <w:wordWrap/>
        <w:overflowPunct/>
        <w:topLinePunct w:val="0"/>
        <w:autoSpaceDE w:val="0"/>
        <w:autoSpaceDN w:val="0"/>
        <w:bidi w:val="0"/>
        <w:adjustRightInd w:val="0"/>
        <w:snapToGrid w:val="0"/>
        <w:spacing w:line="380" w:lineRule="exact"/>
        <w:ind w:firstLine="560" w:firstLineChars="200"/>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5、6</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1E627AD5">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b/>
          <w:bCs w:val="0"/>
          <w:sz w:val="28"/>
          <w:szCs w:val="28"/>
          <w:highlight w:val="none"/>
        </w:rPr>
      </w:pPr>
      <w:r>
        <w:rPr>
          <w:rFonts w:hint="eastAsia" w:ascii="仿宋" w:hAnsi="仿宋" w:eastAsia="仿宋"/>
          <w:bCs/>
          <w:sz w:val="28"/>
          <w:szCs w:val="28"/>
          <w:highlight w:val="none"/>
          <w:lang w:val="en-US" w:eastAsia="zh-CN"/>
        </w:rPr>
        <w:t>14、</w:t>
      </w:r>
      <w:r>
        <w:rPr>
          <w:rFonts w:hint="eastAsia" w:ascii="仿宋" w:hAnsi="仿宋" w:eastAsia="仿宋"/>
          <w:b/>
          <w:bCs w:val="0"/>
          <w:sz w:val="28"/>
          <w:szCs w:val="28"/>
          <w:highlight w:val="none"/>
        </w:rPr>
        <w:t>本项目费率控制价为：医院收费标准的30%。</w:t>
      </w:r>
    </w:p>
    <w:p w14:paraId="5AA2DE84">
      <w:pPr>
        <w:pStyle w:val="10"/>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b/>
          <w:bCs w:val="0"/>
          <w:sz w:val="28"/>
          <w:szCs w:val="28"/>
          <w:highlight w:val="none"/>
        </w:rPr>
      </w:pPr>
      <w:r>
        <w:rPr>
          <w:rFonts w:hint="eastAsia" w:ascii="仿宋" w:hAnsi="仿宋" w:eastAsia="仿宋"/>
          <w:b/>
          <w:bCs w:val="0"/>
          <w:sz w:val="28"/>
          <w:szCs w:val="28"/>
          <w:highlight w:val="none"/>
        </w:rPr>
        <w:t>供应商的报价不得超过费率控制价，超出费率控制价的报价按无效报价处理。</w:t>
      </w:r>
    </w:p>
    <w:p w14:paraId="3993DD47">
      <w:pPr>
        <w:pStyle w:val="6"/>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380" w:lineRule="exact"/>
        <w:ind w:firstLine="562" w:firstLineChars="200"/>
        <w:jc w:val="both"/>
        <w:textAlignment w:val="auto"/>
        <w:rPr>
          <w:rFonts w:hint="eastAsia" w:ascii="仿宋" w:hAnsi="仿宋" w:eastAsia="仿宋" w:cs="仿宋"/>
          <w:b/>
          <w:spacing w:val="-20"/>
          <w:sz w:val="28"/>
          <w:szCs w:val="28"/>
          <w:highlight w:val="none"/>
          <w:lang w:val="en-US" w:eastAsia="zh-CN"/>
        </w:rPr>
      </w:pPr>
      <w:r>
        <w:rPr>
          <w:rFonts w:hint="eastAsia" w:ascii="仿宋" w:hAnsi="仿宋" w:eastAsia="仿宋"/>
          <w:b/>
          <w:bCs w:val="0"/>
          <w:sz w:val="28"/>
          <w:szCs w:val="28"/>
          <w:highlight w:val="none"/>
          <w:lang w:val="en-US" w:eastAsia="zh-CN"/>
        </w:rPr>
        <w:t>供应商的报价不得超过费率控制价，超出费率控制价的报价按</w:t>
      </w:r>
      <w:r>
        <w:rPr>
          <w:rFonts w:hint="eastAsia" w:ascii="仿宋" w:hAnsi="仿宋" w:eastAsia="仿宋"/>
          <w:b/>
          <w:bCs w:val="0"/>
          <w:color w:val="FF0000"/>
          <w:sz w:val="28"/>
          <w:szCs w:val="28"/>
          <w:highlight w:val="none"/>
          <w:u w:val="single"/>
          <w:lang w:val="en-US" w:eastAsia="zh-CN"/>
        </w:rPr>
        <w:t>无效</w:t>
      </w:r>
      <w:r>
        <w:rPr>
          <w:rFonts w:hint="eastAsia" w:ascii="仿宋" w:hAnsi="仿宋" w:eastAsia="仿宋"/>
          <w:b/>
          <w:bCs w:val="0"/>
          <w:sz w:val="28"/>
          <w:szCs w:val="28"/>
          <w:highlight w:val="none"/>
          <w:lang w:val="en-US" w:eastAsia="zh-CN"/>
        </w:rPr>
        <w:t>报价处理。</w:t>
      </w:r>
    </w:p>
    <w:p w14:paraId="4E1B45F5">
      <w:pPr>
        <w:pStyle w:val="10"/>
        <w:keepNext w:val="0"/>
        <w:keepLines w:val="0"/>
        <w:pageBreakBefore w:val="0"/>
        <w:kinsoku/>
        <w:wordWrap/>
        <w:overflowPunct/>
        <w:topLinePunct w:val="0"/>
        <w:bidi w:val="0"/>
        <w:spacing w:line="380" w:lineRule="exact"/>
        <w:ind w:firstLine="480" w:firstLineChars="200"/>
        <w:jc w:val="both"/>
        <w:textAlignment w:val="auto"/>
        <w:rPr>
          <w:rFonts w:ascii="仿宋" w:hAnsi="仿宋" w:eastAsia="仿宋"/>
          <w:bCs/>
          <w:sz w:val="28"/>
          <w:szCs w:val="28"/>
          <w:highlight w:val="none"/>
        </w:rPr>
      </w:pPr>
      <w:r>
        <w:rPr>
          <w:rFonts w:hint="eastAsia" w:ascii="仿宋" w:hAnsi="仿宋" w:eastAsia="仿宋" w:cs="仿宋"/>
          <w:b w:val="0"/>
          <w:bCs/>
          <w:spacing w:val="-20"/>
          <w:sz w:val="28"/>
          <w:szCs w:val="28"/>
          <w:highlight w:val="none"/>
          <w:lang w:val="en-US" w:eastAsia="zh-CN"/>
        </w:rPr>
        <w:t>16、</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14:paraId="00232D5E">
      <w:pPr>
        <w:keepNext w:val="0"/>
        <w:keepLines w:val="0"/>
        <w:pageBreakBefore w:val="0"/>
        <w:widowControl/>
        <w:kinsoku/>
        <w:wordWrap/>
        <w:overflowPunct/>
        <w:topLinePunct w:val="0"/>
        <w:bidi w:val="0"/>
        <w:adjustRightInd w:val="0"/>
        <w:snapToGrid w:val="0"/>
        <w:spacing w:line="380" w:lineRule="exact"/>
        <w:ind w:firstLine="843" w:firstLineChars="300"/>
        <w:jc w:val="both"/>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14:paraId="4D52DC6B">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14:paraId="09898DFC">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4ACEE255">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14:paraId="6F82474F">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的截止时间；</w:t>
      </w:r>
    </w:p>
    <w:p w14:paraId="567A9A79">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14:paraId="1CC32D4B">
      <w:pPr>
        <w:keepNext w:val="0"/>
        <w:keepLines w:val="0"/>
        <w:pageBreakBefore w:val="0"/>
        <w:kinsoku/>
        <w:wordWrap/>
        <w:overflowPunct/>
        <w:topLinePunct w:val="0"/>
        <w:autoSpaceDE w:val="0"/>
        <w:autoSpaceDN w:val="0"/>
        <w:bidi w:val="0"/>
        <w:adjustRightInd w:val="0"/>
        <w:snapToGrid w:val="0"/>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14:paraId="7F741B68">
      <w:pPr>
        <w:keepNext w:val="0"/>
        <w:keepLines w:val="0"/>
        <w:pageBreakBefore w:val="0"/>
        <w:kinsoku/>
        <w:wordWrap/>
        <w:overflowPunct/>
        <w:topLinePunct w:val="0"/>
        <w:autoSpaceDE w:val="0"/>
        <w:autoSpaceDN w:val="0"/>
        <w:bidi w:val="0"/>
        <w:adjustRightInd w:val="0"/>
        <w:snapToGrid w:val="0"/>
        <w:spacing w:line="38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1B6A7E81">
      <w:pPr>
        <w:keepNext w:val="0"/>
        <w:keepLines w:val="0"/>
        <w:pageBreakBefore w:val="0"/>
        <w:kinsoku/>
        <w:wordWrap/>
        <w:overflowPunct/>
        <w:topLinePunct w:val="0"/>
        <w:bidi w:val="0"/>
        <w:adjustRightInd w:val="0"/>
        <w:snapToGrid w:val="0"/>
        <w:spacing w:line="38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w:t>
      </w:r>
      <w:r>
        <w:rPr>
          <w:rFonts w:hint="eastAsia" w:ascii="仿宋" w:hAnsi="仿宋" w:eastAsia="仿宋" w:cs="宋体"/>
          <w:b/>
          <w:bCs/>
          <w:sz w:val="28"/>
          <w:szCs w:val="28"/>
          <w:highlight w:val="none"/>
          <w:lang w:eastAsia="zh-CN"/>
        </w:rPr>
        <w:t>响应文件</w:t>
      </w:r>
      <w:r>
        <w:rPr>
          <w:rFonts w:hint="eastAsia" w:ascii="仿宋" w:hAnsi="仿宋" w:eastAsia="仿宋" w:cs="宋体"/>
          <w:b/>
          <w:bCs/>
          <w:sz w:val="28"/>
          <w:szCs w:val="28"/>
          <w:highlight w:val="none"/>
        </w:rPr>
        <w:t>的编写：</w:t>
      </w:r>
      <w:r>
        <w:rPr>
          <w:rFonts w:hint="eastAsia" w:ascii="仿宋" w:hAnsi="仿宋" w:eastAsia="仿宋" w:cs="宋体"/>
          <w:sz w:val="28"/>
          <w:szCs w:val="28"/>
          <w:highlight w:val="none"/>
        </w:rPr>
        <w:t>供应商应按采购文件的要求准备</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3BE8E2CB">
      <w:pPr>
        <w:keepNext w:val="0"/>
        <w:keepLines w:val="0"/>
        <w:pageBreakBefore w:val="0"/>
        <w:kinsoku/>
        <w:wordWrap/>
        <w:overflowPunct/>
        <w:topLinePunct w:val="0"/>
        <w:autoSpaceDE w:val="0"/>
        <w:autoSpaceDN w:val="0"/>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7、8</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7D7C4CDB">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报价出现前后不一致的，除采购文件另有规定外，按照下列规定修正：</w:t>
      </w:r>
    </w:p>
    <w:p w14:paraId="1A5CCDFB">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a.</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中报价一览表内容与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中相应内容不一致的，以报价</w:t>
      </w:r>
      <w:r>
        <w:rPr>
          <w:rFonts w:hint="eastAsia" w:ascii="仿宋" w:hAnsi="仿宋" w:eastAsia="仿宋" w:cs="宋体"/>
          <w:sz w:val="28"/>
          <w:szCs w:val="28"/>
          <w:highlight w:val="none"/>
          <w:lang w:val="en-US" w:eastAsia="zh-CN"/>
        </w:rPr>
        <w:t>一览</w:t>
      </w:r>
      <w:r>
        <w:rPr>
          <w:rFonts w:hint="eastAsia" w:ascii="仿宋" w:hAnsi="仿宋" w:eastAsia="仿宋" w:cs="宋体"/>
          <w:sz w:val="28"/>
          <w:szCs w:val="28"/>
          <w:highlight w:val="none"/>
        </w:rPr>
        <w:t>表为准；</w:t>
      </w:r>
    </w:p>
    <w:p w14:paraId="220CAB97">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b.</w:t>
      </w:r>
      <w:r>
        <w:rPr>
          <w:rFonts w:hint="eastAsia" w:ascii="仿宋" w:hAnsi="仿宋" w:eastAsia="仿宋" w:cs="宋体"/>
          <w:sz w:val="28"/>
          <w:szCs w:val="28"/>
          <w:highlight w:val="none"/>
        </w:rPr>
        <w:t>大写金额和小写金额不一致的，以大写金额为准；</w:t>
      </w:r>
    </w:p>
    <w:p w14:paraId="2F05369C">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c.</w:t>
      </w:r>
      <w:r>
        <w:rPr>
          <w:rFonts w:hint="eastAsia" w:ascii="仿宋" w:hAnsi="仿宋" w:eastAsia="仿宋" w:cs="宋体"/>
          <w:sz w:val="28"/>
          <w:szCs w:val="28"/>
          <w:highlight w:val="none"/>
        </w:rPr>
        <w:t>单价金额小数点或者百分比有明显错位的，以报价表的总价为准，并修改单价；</w:t>
      </w:r>
    </w:p>
    <w:p w14:paraId="1F1F388F">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d.</w:t>
      </w:r>
      <w:r>
        <w:rPr>
          <w:rFonts w:hint="eastAsia" w:ascii="仿宋" w:hAnsi="仿宋" w:eastAsia="仿宋" w:cs="宋体"/>
          <w:sz w:val="28"/>
          <w:szCs w:val="28"/>
          <w:highlight w:val="none"/>
        </w:rPr>
        <w:t>总价金额与按单价汇总金额不一致的，以单价金额计算结果为准。</w:t>
      </w:r>
    </w:p>
    <w:p w14:paraId="424B65D4">
      <w:pPr>
        <w:keepNext w:val="0"/>
        <w:keepLines w:val="0"/>
        <w:pageBreakBefore w:val="0"/>
        <w:kinsoku/>
        <w:wordWrap/>
        <w:overflowPunct/>
        <w:topLinePunct w:val="0"/>
        <w:autoSpaceDE/>
        <w:autoSpaceDN/>
        <w:bidi w:val="0"/>
        <w:spacing w:line="38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14:paraId="687CCFC9">
      <w:pPr>
        <w:keepNext w:val="0"/>
        <w:keepLines w:val="0"/>
        <w:pageBreakBefore w:val="0"/>
        <w:widowControl w:val="0"/>
        <w:kinsoku/>
        <w:wordWrap/>
        <w:overflowPunct/>
        <w:topLinePunct w:val="0"/>
        <w:autoSpaceDE w:val="0"/>
        <w:autoSpaceDN w:val="0"/>
        <w:bidi w:val="0"/>
        <w:adjustRightInd w:val="0"/>
        <w:snapToGrid w:val="0"/>
        <w:spacing w:line="38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10</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00A6420D">
      <w:pPr>
        <w:keepNext w:val="0"/>
        <w:keepLines w:val="0"/>
        <w:pageBreakBefore w:val="0"/>
        <w:widowControl w:val="0"/>
        <w:kinsoku/>
        <w:wordWrap/>
        <w:overflowPunct/>
        <w:topLinePunct w:val="0"/>
        <w:autoSpaceDE/>
        <w:autoSpaceDN/>
        <w:bidi w:val="0"/>
        <w:adjustRightInd w:val="0"/>
        <w:snapToGrid w:val="0"/>
        <w:spacing w:line="38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1D466239">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15</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5ABCEAE7">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 xml:space="preserve">不完整；    </w:t>
      </w:r>
    </w:p>
    <w:p w14:paraId="245D20A9">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14:paraId="705A8B0A">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c)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未按采购文件要求签署、盖章；</w:t>
      </w:r>
    </w:p>
    <w:p w14:paraId="18AE760D">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w:t>
      </w:r>
      <w:r>
        <w:rPr>
          <w:rFonts w:hint="eastAsia" w:ascii="仿宋" w:hAnsi="仿宋" w:eastAsia="仿宋" w:cs="宋体"/>
          <w:sz w:val="28"/>
          <w:szCs w:val="28"/>
          <w:highlight w:val="none"/>
          <w:lang w:val="en-US" w:eastAsia="zh-CN"/>
        </w:rPr>
        <w:t>合同履行期限</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服务响应期</w:t>
      </w:r>
      <w:r>
        <w:rPr>
          <w:rFonts w:hint="eastAsia" w:ascii="仿宋" w:hAnsi="仿宋" w:eastAsia="仿宋" w:cs="宋体"/>
          <w:sz w:val="28"/>
          <w:szCs w:val="28"/>
          <w:highlight w:val="none"/>
          <w:lang w:eastAsia="zh-CN"/>
        </w:rPr>
        <w:t>不符合采购文件要求</w:t>
      </w:r>
      <w:r>
        <w:rPr>
          <w:rFonts w:hint="eastAsia" w:ascii="仿宋" w:hAnsi="仿宋" w:eastAsia="仿宋" w:cs="宋体"/>
          <w:sz w:val="28"/>
          <w:szCs w:val="28"/>
          <w:highlight w:val="none"/>
        </w:rPr>
        <w:t xml:space="preserve">；  </w:t>
      </w:r>
    </w:p>
    <w:p w14:paraId="34F6CD35">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14:paraId="01BF883D">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14:paraId="3C3EE52D">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47A6E5F9">
      <w:pPr>
        <w:pStyle w:val="10"/>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14:paraId="217076D1">
      <w:pPr>
        <w:pStyle w:val="10"/>
        <w:keepNext w:val="0"/>
        <w:keepLines w:val="0"/>
        <w:pageBreakBefore w:val="0"/>
        <w:widowControl w:val="0"/>
        <w:kinsoku/>
        <w:wordWrap/>
        <w:overflowPunct/>
        <w:topLinePunct w:val="0"/>
        <w:autoSpaceDE/>
        <w:autoSpaceDN/>
        <w:bidi w:val="0"/>
        <w:adjustRightInd/>
        <w:snapToGrid/>
        <w:spacing w:line="380" w:lineRule="exact"/>
        <w:ind w:firstLine="562" w:firstLineChars="200"/>
        <w:jc w:val="both"/>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lang w:eastAsia="zh-CN"/>
        </w:rPr>
        <w:t>响应文件</w:t>
      </w:r>
      <w:r>
        <w:rPr>
          <w:rFonts w:hint="eastAsia" w:ascii="仿宋" w:hAnsi="仿宋" w:eastAsia="仿宋" w:cs="宋体"/>
          <w:b/>
          <w:sz w:val="28"/>
          <w:szCs w:val="28"/>
          <w:highlight w:val="none"/>
        </w:rPr>
        <w:t>处理</w:t>
      </w:r>
    </w:p>
    <w:p w14:paraId="16CB6FAC">
      <w:pPr>
        <w:pStyle w:val="10"/>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17-18</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14:paraId="6CB93994">
      <w:pPr>
        <w:pStyle w:val="8"/>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14:paraId="34093354">
      <w:pPr>
        <w:pStyle w:val="8"/>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14:paraId="3DDDA3E4">
      <w:pPr>
        <w:pStyle w:val="8"/>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14:paraId="2C8DC949">
      <w:pPr>
        <w:pStyle w:val="8"/>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14:paraId="6FD51D98">
      <w:pPr>
        <w:pStyle w:val="8"/>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14:paraId="73AD69B7">
      <w:pPr>
        <w:pStyle w:val="8"/>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14:paraId="76257685">
      <w:pPr>
        <w:keepNext w:val="0"/>
        <w:keepLines w:val="0"/>
        <w:pageBreakBefore w:val="0"/>
        <w:kinsoku/>
        <w:wordWrap/>
        <w:overflowPunct/>
        <w:topLinePunct w:val="0"/>
        <w:bidi w:val="0"/>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14:paraId="5A4070EA">
      <w:pPr>
        <w:pStyle w:val="10"/>
        <w:keepNext w:val="0"/>
        <w:keepLines w:val="0"/>
        <w:pageBreakBefore w:val="0"/>
        <w:widowControl w:val="0"/>
        <w:kinsoku/>
        <w:wordWrap/>
        <w:overflowPunct/>
        <w:topLinePunct w:val="0"/>
        <w:autoSpaceDE/>
        <w:autoSpaceDN/>
        <w:bidi w:val="0"/>
        <w:adjustRightInd/>
        <w:snapToGrid/>
        <w:spacing w:line="380" w:lineRule="exact"/>
        <w:ind w:firstLine="562" w:firstLineChars="200"/>
        <w:jc w:val="both"/>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14:paraId="158BA361">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14:paraId="2440B9DD">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14:paraId="7FF9A1FE">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color w:val="FF0000"/>
          <w:kern w:val="0"/>
          <w:sz w:val="28"/>
          <w:szCs w:val="28"/>
          <w:highlight w:val="none"/>
          <w:lang w:eastAsia="zh-CN"/>
        </w:rPr>
        <w:t>2024年</w:t>
      </w:r>
      <w:r>
        <w:rPr>
          <w:rFonts w:hint="eastAsia" w:ascii="仿宋" w:hAnsi="仿宋" w:eastAsia="仿宋" w:cs="宋体"/>
          <w:color w:val="FF0000"/>
          <w:kern w:val="0"/>
          <w:sz w:val="28"/>
          <w:szCs w:val="28"/>
          <w:highlight w:val="none"/>
          <w:lang w:val="en-US" w:eastAsia="zh-CN"/>
        </w:rPr>
        <w:t>12</w:t>
      </w:r>
      <w:r>
        <w:rPr>
          <w:rFonts w:hint="eastAsia" w:ascii="仿宋" w:hAnsi="仿宋" w:eastAsia="仿宋" w:cs="宋体"/>
          <w:color w:val="FF0000"/>
          <w:kern w:val="0"/>
          <w:sz w:val="28"/>
          <w:szCs w:val="28"/>
          <w:highlight w:val="none"/>
          <w:lang w:eastAsia="zh-CN"/>
        </w:rPr>
        <w:t>月</w:t>
      </w:r>
      <w:r>
        <w:rPr>
          <w:rFonts w:hint="eastAsia" w:ascii="仿宋" w:hAnsi="仿宋" w:eastAsia="仿宋" w:cs="宋体"/>
          <w:color w:val="FF0000"/>
          <w:kern w:val="0"/>
          <w:sz w:val="28"/>
          <w:szCs w:val="28"/>
          <w:highlight w:val="none"/>
          <w:lang w:val="en-US" w:eastAsia="zh-CN"/>
        </w:rPr>
        <w:t>4</w:t>
      </w:r>
      <w:r>
        <w:rPr>
          <w:rFonts w:hint="eastAsia" w:ascii="仿宋" w:hAnsi="仿宋" w:eastAsia="仿宋" w:cs="宋体"/>
          <w:color w:val="FF0000"/>
          <w:kern w:val="0"/>
          <w:sz w:val="28"/>
          <w:szCs w:val="28"/>
          <w:highlight w:val="none"/>
          <w:lang w:eastAsia="zh-CN"/>
        </w:rPr>
        <w:t>日</w:t>
      </w:r>
      <w:r>
        <w:rPr>
          <w:rFonts w:hint="eastAsia" w:ascii="仿宋" w:hAnsi="仿宋" w:eastAsia="仿宋" w:cs="宋体"/>
          <w:color w:val="FF0000"/>
          <w:kern w:val="0"/>
          <w:sz w:val="28"/>
          <w:szCs w:val="28"/>
          <w:highlight w:val="none"/>
          <w:lang w:val="en-US" w:eastAsia="zh-CN"/>
        </w:rPr>
        <w:t>14</w:t>
      </w:r>
      <w:r>
        <w:rPr>
          <w:rFonts w:hint="eastAsia" w:ascii="仿宋" w:hAnsi="仿宋" w:eastAsia="仿宋" w:cs="宋体"/>
          <w:color w:val="FF0000"/>
          <w:kern w:val="0"/>
          <w:sz w:val="28"/>
          <w:szCs w:val="28"/>
          <w:highlight w:val="none"/>
          <w:lang w:eastAsia="zh-CN"/>
        </w:rPr>
        <w:t>时</w:t>
      </w:r>
      <w:r>
        <w:rPr>
          <w:rFonts w:hint="eastAsia" w:ascii="仿宋" w:hAnsi="仿宋" w:eastAsia="仿宋" w:cs="宋体"/>
          <w:color w:val="FF0000"/>
          <w:kern w:val="0"/>
          <w:sz w:val="28"/>
          <w:szCs w:val="28"/>
          <w:highlight w:val="none"/>
          <w:lang w:val="en-US" w:eastAsia="zh-CN"/>
        </w:rPr>
        <w:t>30</w:t>
      </w:r>
      <w:r>
        <w:rPr>
          <w:rFonts w:hint="eastAsia" w:ascii="仿宋" w:hAnsi="仿宋" w:eastAsia="仿宋" w:cs="宋体"/>
          <w:color w:val="FF0000"/>
          <w:kern w:val="0"/>
          <w:sz w:val="28"/>
          <w:szCs w:val="28"/>
          <w:highlight w:val="none"/>
          <w:lang w:eastAsia="zh-CN"/>
        </w:rPr>
        <w:t>分</w:t>
      </w:r>
      <w:r>
        <w:rPr>
          <w:rFonts w:hint="eastAsia" w:ascii="仿宋" w:hAnsi="仿宋" w:eastAsia="仿宋" w:cs="宋体"/>
          <w:color w:val="auto"/>
          <w:sz w:val="28"/>
          <w:szCs w:val="28"/>
          <w:highlight w:val="none"/>
        </w:rPr>
        <w:t>（北</w:t>
      </w:r>
      <w:r>
        <w:rPr>
          <w:rFonts w:hint="eastAsia" w:ascii="仿宋" w:hAnsi="仿宋" w:eastAsia="仿宋" w:cs="宋体"/>
          <w:sz w:val="28"/>
          <w:szCs w:val="28"/>
          <w:highlight w:val="none"/>
        </w:rPr>
        <w:t>京时间）。</w:t>
      </w:r>
    </w:p>
    <w:p w14:paraId="238E8DF7">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微山县人民医院1号病房楼10楼会议室</w:t>
      </w:r>
    </w:p>
    <w:p w14:paraId="531A3084">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密封情况：公开报价时，由报价供应商或其推选的代表检查</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的密封情况，经确认无误后，由工作人员当众拆封。</w:t>
      </w:r>
    </w:p>
    <w:p w14:paraId="6D74F405">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当众拆封，并宣读“报价一览表”，记录员将报价内容分项记录</w:t>
      </w:r>
    </w:p>
    <w:p w14:paraId="10F78AE7">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14:paraId="0A915066">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，由采购人代表和有关方面的专家等三人（含三人）以上的单数组成，其中专家不得少于成员总数的三分之二，磋商小组负责对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进行评审，评选出成交候选人。</w:t>
      </w:r>
    </w:p>
    <w:p w14:paraId="30281FD0">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14:paraId="1ED1261A">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14:paraId="5C397935">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14:paraId="096AE38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14:paraId="4A692EC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进行认真评审；磋商小组对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的评审仅依据</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本身，而不依靠</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以外的任何因素。</w:t>
      </w:r>
    </w:p>
    <w:p w14:paraId="531FA22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w:t>
      </w:r>
    </w:p>
    <w:p w14:paraId="512785A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14:paraId="60D7CE8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14:paraId="2247743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14:paraId="1AFBAB7D">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14:paraId="32E6A9B5">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，由磋商小组综合各成员意见，评出成交候选供应商。</w:t>
      </w:r>
    </w:p>
    <w:p w14:paraId="14F29897">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14:paraId="70F007D9">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14:paraId="2071A01D">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14:paraId="4CE09F2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14:paraId="07694816">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14:paraId="3FE5E199">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14:paraId="16E2711F">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14:paraId="242E1F96">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78526680">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不完整；</w:t>
      </w:r>
    </w:p>
    <w:p w14:paraId="3FE2DDF5">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b) 未按规定报价；</w:t>
      </w:r>
    </w:p>
    <w:p w14:paraId="33F7FC7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c)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未按采购文件要求签署、盖章；</w:t>
      </w:r>
    </w:p>
    <w:p w14:paraId="7EB6C01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w:t>
      </w:r>
      <w:r>
        <w:rPr>
          <w:rFonts w:hint="eastAsia" w:ascii="仿宋" w:hAnsi="仿宋" w:eastAsia="仿宋" w:cs="宋体"/>
          <w:sz w:val="28"/>
          <w:szCs w:val="28"/>
          <w:highlight w:val="none"/>
          <w:lang w:val="en-US" w:eastAsia="zh-CN"/>
        </w:rPr>
        <w:t>合同履行期限</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服务响应期</w:t>
      </w:r>
      <w:r>
        <w:rPr>
          <w:rFonts w:hint="eastAsia" w:ascii="仿宋" w:hAnsi="仿宋" w:eastAsia="仿宋" w:cs="宋体"/>
          <w:sz w:val="28"/>
          <w:szCs w:val="28"/>
          <w:highlight w:val="none"/>
          <w:lang w:eastAsia="zh-CN"/>
        </w:rPr>
        <w:t>不符合采购文件要求</w:t>
      </w:r>
      <w:r>
        <w:rPr>
          <w:rFonts w:hint="eastAsia" w:ascii="仿宋" w:hAnsi="仿宋" w:eastAsia="仿宋" w:cs="宋体"/>
          <w:sz w:val="28"/>
          <w:szCs w:val="28"/>
          <w:highlight w:val="none"/>
        </w:rPr>
        <w:t>；</w:t>
      </w:r>
    </w:p>
    <w:p w14:paraId="1F5ADCA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14:paraId="2370749B">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14:paraId="2C50E11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中不构成重大偏离的、微小的、非正规、不一致或不规则的地方。但是澄清或说明的内容不能改变</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的实质性内容，供应商澄清或说明的内容以书面文件为准。</w:t>
      </w:r>
    </w:p>
    <w:p w14:paraId="47A923A1">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，供应商不能通过修正或撤销</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中的不符之处而使其报价成为实质性响应的报价。</w:t>
      </w:r>
    </w:p>
    <w:p w14:paraId="1666788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39E62344">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w:t>
      </w:r>
      <w:r>
        <w:rPr>
          <w:rFonts w:hint="eastAsia" w:ascii="仿宋" w:hAnsi="仿宋" w:eastAsia="仿宋" w:cs="宋体"/>
          <w:sz w:val="28"/>
          <w:szCs w:val="28"/>
          <w:highlight w:val="none"/>
          <w:lang w:val="en-US" w:eastAsia="zh-CN"/>
        </w:rPr>
        <w:t>合格</w:t>
      </w:r>
      <w:r>
        <w:rPr>
          <w:rFonts w:hint="eastAsia" w:ascii="仿宋" w:hAnsi="仿宋" w:eastAsia="仿宋" w:cs="宋体"/>
          <w:sz w:val="28"/>
          <w:szCs w:val="28"/>
          <w:highlight w:val="none"/>
        </w:rPr>
        <w:t>围供应商名单，只有成为</w:t>
      </w:r>
      <w:r>
        <w:rPr>
          <w:rFonts w:hint="eastAsia" w:ascii="仿宋" w:hAnsi="仿宋" w:eastAsia="仿宋" w:cs="宋体"/>
          <w:sz w:val="28"/>
          <w:szCs w:val="28"/>
          <w:highlight w:val="none"/>
          <w:lang w:val="en-US" w:eastAsia="zh-CN"/>
        </w:rPr>
        <w:t>合格</w:t>
      </w:r>
      <w:r>
        <w:rPr>
          <w:rFonts w:hint="eastAsia" w:ascii="仿宋" w:hAnsi="仿宋" w:eastAsia="仿宋" w:cs="宋体"/>
          <w:sz w:val="28"/>
          <w:szCs w:val="28"/>
          <w:highlight w:val="none"/>
        </w:rPr>
        <w:t>供应商，才能进入综合评审阶段。</w:t>
      </w:r>
    </w:p>
    <w:p w14:paraId="459CF0CB">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14:paraId="6F3841B0">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14:paraId="293A7814">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进行评审，磋商小组有权向供应商询问。供应商有义务以书面形式对其</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中含义不明确的内容进行澄清和说明，但澄清和说明的内容不得超出</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的范围或改变</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的实质性内容。供应商澄清和说明的内容构成</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的组成部分。</w:t>
      </w:r>
    </w:p>
    <w:p w14:paraId="305717E4">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14:paraId="244C5C8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14:paraId="22B80BB5">
      <w:pPr>
        <w:pStyle w:val="10"/>
        <w:spacing w:line="400" w:lineRule="exact"/>
        <w:jc w:val="center"/>
        <w:rPr>
          <w:rStyle w:val="21"/>
          <w:rFonts w:ascii="仿宋" w:hAnsi="仿宋" w:eastAsia="仿宋" w:cs="宋体"/>
          <w:kern w:val="0"/>
          <w:sz w:val="28"/>
          <w:highlight w:val="none"/>
        </w:rPr>
      </w:pPr>
      <w:r>
        <w:rPr>
          <w:rStyle w:val="21"/>
          <w:rFonts w:ascii="仿宋" w:hAnsi="仿宋" w:eastAsia="仿宋" w:cs="宋体"/>
          <w:kern w:val="0"/>
          <w:sz w:val="28"/>
          <w:highlight w:val="none"/>
        </w:rPr>
        <w:t>评分办法</w:t>
      </w:r>
    </w:p>
    <w:tbl>
      <w:tblPr>
        <w:tblStyle w:val="19"/>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866"/>
        <w:gridCol w:w="7764"/>
      </w:tblGrid>
      <w:tr w14:paraId="4C98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Align w:val="center"/>
          </w:tcPr>
          <w:p w14:paraId="70ADCC5D">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内容</w:t>
            </w:r>
          </w:p>
        </w:tc>
        <w:tc>
          <w:tcPr>
            <w:tcW w:w="866" w:type="dxa"/>
            <w:vAlign w:val="center"/>
          </w:tcPr>
          <w:p w14:paraId="420A52AF">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分值</w:t>
            </w:r>
          </w:p>
        </w:tc>
        <w:tc>
          <w:tcPr>
            <w:tcW w:w="7764" w:type="dxa"/>
            <w:vAlign w:val="center"/>
          </w:tcPr>
          <w:p w14:paraId="75B7C20E">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评分标准</w:t>
            </w:r>
          </w:p>
        </w:tc>
      </w:tr>
      <w:tr w14:paraId="1286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848" w:type="dxa"/>
            <w:vAlign w:val="center"/>
          </w:tcPr>
          <w:p w14:paraId="01604DE9">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报价部分</w:t>
            </w:r>
          </w:p>
        </w:tc>
        <w:tc>
          <w:tcPr>
            <w:tcW w:w="866" w:type="dxa"/>
            <w:vAlign w:val="center"/>
          </w:tcPr>
          <w:p w14:paraId="1E6ABE58">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lang w:val="en-US" w:eastAsia="zh-CN"/>
              </w:rPr>
              <w:t>15</w:t>
            </w:r>
            <w:r>
              <w:rPr>
                <w:rStyle w:val="21"/>
                <w:rFonts w:hint="eastAsia" w:ascii="仿宋" w:hAnsi="仿宋" w:eastAsia="仿宋" w:cs="仿宋"/>
                <w:b w:val="0"/>
                <w:kern w:val="0"/>
                <w:sz w:val="28"/>
                <w:szCs w:val="28"/>
                <w:highlight w:val="none"/>
              </w:rPr>
              <w:t>分</w:t>
            </w:r>
          </w:p>
        </w:tc>
        <w:tc>
          <w:tcPr>
            <w:tcW w:w="7764" w:type="dxa"/>
            <w:vAlign w:val="center"/>
          </w:tcPr>
          <w:p w14:paraId="350BA9E2">
            <w:pPr>
              <w:pStyle w:val="10"/>
              <w:keepNext w:val="0"/>
              <w:keepLines w:val="0"/>
              <w:pageBreakBefore w:val="0"/>
              <w:widowControl w:val="0"/>
              <w:kinsoku/>
              <w:wordWrap/>
              <w:overflowPunct/>
              <w:topLinePunct w:val="0"/>
              <w:autoSpaceDE/>
              <w:autoSpaceDN/>
              <w:bidi w:val="0"/>
              <w:adjustRightInd/>
              <w:snapToGrid/>
              <w:spacing w:line="320" w:lineRule="exact"/>
              <w:textAlignment w:val="auto"/>
              <w:outlineLvl w:val="9"/>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满足磋商文件要求且</w:t>
            </w:r>
            <w:r>
              <w:rPr>
                <w:rStyle w:val="21"/>
                <w:rFonts w:hint="eastAsia" w:ascii="仿宋" w:hAnsi="仿宋" w:eastAsia="仿宋" w:cs="宋体"/>
                <w:b w:val="0"/>
                <w:kern w:val="0"/>
                <w:sz w:val="28"/>
                <w:highlight w:val="none"/>
                <w:lang w:val="en-US" w:eastAsia="zh-CN"/>
              </w:rPr>
              <w:t>最后磋商报价</w:t>
            </w:r>
            <w:r>
              <w:rPr>
                <w:rStyle w:val="21"/>
                <w:rFonts w:hint="eastAsia" w:ascii="仿宋" w:hAnsi="仿宋" w:eastAsia="仿宋" w:cs="宋体"/>
                <w:b w:val="0"/>
                <w:kern w:val="0"/>
                <w:sz w:val="28"/>
                <w:highlight w:val="none"/>
              </w:rPr>
              <w:t>最低的供应商的价格为磋商基准价，其价格分为满分</w:t>
            </w:r>
            <w:r>
              <w:rPr>
                <w:rStyle w:val="21"/>
                <w:rFonts w:hint="eastAsia" w:ascii="仿宋" w:hAnsi="仿宋" w:eastAsia="仿宋" w:cs="宋体"/>
                <w:b w:val="0"/>
                <w:kern w:val="0"/>
                <w:sz w:val="28"/>
                <w:highlight w:val="none"/>
                <w:lang w:val="en-US" w:eastAsia="zh-CN"/>
              </w:rPr>
              <w:t>15分</w:t>
            </w:r>
            <w:r>
              <w:rPr>
                <w:rStyle w:val="21"/>
                <w:rFonts w:hint="eastAsia" w:ascii="仿宋" w:hAnsi="仿宋" w:eastAsia="仿宋" w:cs="宋体"/>
                <w:b w:val="0"/>
                <w:kern w:val="0"/>
                <w:sz w:val="28"/>
                <w:highlight w:val="none"/>
              </w:rPr>
              <w:t>。其他供应商的价格分统一按照下列公式计算：</w:t>
            </w:r>
          </w:p>
          <w:p w14:paraId="74DDEBD9">
            <w:pPr>
              <w:pStyle w:val="1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宋体"/>
                <w:b w:val="0"/>
                <w:kern w:val="0"/>
                <w:sz w:val="28"/>
                <w:highlight w:val="none"/>
              </w:rPr>
              <w:t>磋商报价得分=(磋商基准价/最后磋商报价)×</w:t>
            </w:r>
            <w:r>
              <w:rPr>
                <w:rStyle w:val="21"/>
                <w:rFonts w:hint="eastAsia" w:ascii="仿宋" w:hAnsi="仿宋" w:eastAsia="仿宋" w:cs="宋体"/>
                <w:b w:val="0"/>
                <w:kern w:val="0"/>
                <w:sz w:val="28"/>
                <w:highlight w:val="none"/>
                <w:lang w:val="en-US" w:eastAsia="zh-CN"/>
              </w:rPr>
              <w:t>15</w:t>
            </w:r>
            <w:r>
              <w:rPr>
                <w:rStyle w:val="21"/>
                <w:rFonts w:hint="eastAsia" w:ascii="仿宋" w:hAnsi="仿宋" w:eastAsia="仿宋" w:cs="宋体"/>
                <w:b w:val="0"/>
                <w:kern w:val="0"/>
                <w:sz w:val="28"/>
                <w:highlight w:val="none"/>
              </w:rPr>
              <w:t xml:space="preserve">%×100；小数点后保留两位，四舍五入。 </w:t>
            </w:r>
          </w:p>
        </w:tc>
      </w:tr>
      <w:tr w14:paraId="450E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848" w:type="dxa"/>
            <w:vMerge w:val="restart"/>
            <w:vAlign w:val="center"/>
          </w:tcPr>
          <w:p w14:paraId="6150A4DF">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商务部分</w:t>
            </w:r>
          </w:p>
        </w:tc>
        <w:tc>
          <w:tcPr>
            <w:tcW w:w="866" w:type="dxa"/>
            <w:vAlign w:val="center"/>
          </w:tcPr>
          <w:p w14:paraId="027D7568">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kern w:val="0"/>
                <w:sz w:val="28"/>
                <w:szCs w:val="28"/>
                <w:highlight w:val="none"/>
                <w:lang w:val="en-US" w:eastAsia="zh-CN"/>
              </w:rPr>
            </w:pPr>
            <w:r>
              <w:rPr>
                <w:rFonts w:hint="eastAsia" w:ascii="仿宋" w:hAnsi="仿宋" w:eastAsia="仿宋" w:cs="仿宋"/>
                <w:color w:val="000000"/>
                <w:sz w:val="28"/>
                <w:szCs w:val="28"/>
                <w:highlight w:val="none"/>
                <w:lang w:bidi="ar"/>
              </w:rPr>
              <w:t>信息安全备案</w:t>
            </w:r>
            <w:r>
              <w:rPr>
                <w:rFonts w:hint="eastAsia" w:ascii="仿宋" w:hAnsi="仿宋" w:eastAsia="仿宋" w:cs="仿宋"/>
                <w:color w:val="000000"/>
                <w:sz w:val="28"/>
                <w:szCs w:val="28"/>
                <w:highlight w:val="none"/>
                <w:lang w:val="en-US" w:eastAsia="zh-CN" w:bidi="ar"/>
              </w:rPr>
              <w:t>3</w:t>
            </w:r>
            <w:r>
              <w:rPr>
                <w:rStyle w:val="21"/>
                <w:rFonts w:hint="eastAsia" w:ascii="仿宋" w:hAnsi="仿宋" w:eastAsia="仿宋" w:cs="仿宋"/>
                <w:b w:val="0"/>
                <w:kern w:val="0"/>
                <w:sz w:val="28"/>
                <w:szCs w:val="28"/>
                <w:highlight w:val="none"/>
                <w:lang w:val="en-US" w:eastAsia="zh-CN"/>
              </w:rPr>
              <w:t>分</w:t>
            </w:r>
          </w:p>
        </w:tc>
        <w:tc>
          <w:tcPr>
            <w:tcW w:w="7764" w:type="dxa"/>
            <w:vAlign w:val="center"/>
          </w:tcPr>
          <w:p w14:paraId="24B39F71">
            <w:pPr>
              <w:snapToGrid w:val="0"/>
              <w:rPr>
                <w:rFonts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val="en-US" w:eastAsia="zh-CN" w:bidi="ar"/>
              </w:rPr>
              <w:t>供应商</w:t>
            </w:r>
            <w:r>
              <w:rPr>
                <w:rFonts w:hint="eastAsia" w:ascii="仿宋" w:hAnsi="仿宋" w:eastAsia="仿宋" w:cs="仿宋"/>
                <w:color w:val="000000"/>
                <w:sz w:val="28"/>
                <w:szCs w:val="28"/>
                <w:highlight w:val="none"/>
                <w:lang w:bidi="ar"/>
              </w:rPr>
              <w:t>或数据处理制造商具有公安机关出具的3级及以上信息系统安全等级保护备案证明</w:t>
            </w:r>
            <w:r>
              <w:rPr>
                <w:rFonts w:hint="eastAsia" w:ascii="仿宋" w:hAnsi="仿宋" w:eastAsia="仿宋" w:cs="仿宋"/>
                <w:color w:val="000000"/>
                <w:sz w:val="28"/>
                <w:szCs w:val="28"/>
                <w:highlight w:val="none"/>
                <w:lang w:val="en-US" w:eastAsia="zh-CN" w:bidi="ar"/>
              </w:rPr>
              <w:t>的得3分</w:t>
            </w:r>
            <w:r>
              <w:rPr>
                <w:rFonts w:hint="eastAsia" w:ascii="仿宋" w:hAnsi="仿宋" w:eastAsia="仿宋" w:cs="仿宋"/>
                <w:color w:val="000000"/>
                <w:sz w:val="28"/>
                <w:szCs w:val="28"/>
                <w:highlight w:val="none"/>
                <w:lang w:bidi="ar"/>
              </w:rPr>
              <w:t>。</w:t>
            </w:r>
          </w:p>
          <w:p w14:paraId="1E2A1D55">
            <w:pPr>
              <w:snapToGrid w:val="0"/>
              <w:rPr>
                <w:rFonts w:hint="eastAsia" w:ascii="仿宋" w:hAnsi="仿宋" w:eastAsia="仿宋" w:cs="仿宋"/>
                <w:color w:val="000000"/>
                <w:kern w:val="2"/>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注：提供</w:t>
            </w:r>
            <w:r>
              <w:rPr>
                <w:rFonts w:hint="eastAsia" w:ascii="仿宋" w:hAnsi="仿宋" w:eastAsia="仿宋" w:cs="仿宋"/>
                <w:color w:val="000000"/>
                <w:sz w:val="28"/>
                <w:szCs w:val="28"/>
                <w:highlight w:val="none"/>
                <w:lang w:bidi="ar"/>
              </w:rPr>
              <w:t>备案证明</w:t>
            </w:r>
            <w:r>
              <w:rPr>
                <w:rFonts w:hint="eastAsia" w:ascii="仿宋" w:hAnsi="仿宋" w:eastAsia="仿宋" w:cs="仿宋"/>
                <w:color w:val="000000"/>
                <w:sz w:val="28"/>
                <w:szCs w:val="28"/>
                <w:highlight w:val="none"/>
                <w:lang w:val="en-US" w:eastAsia="zh-CN" w:bidi="ar"/>
              </w:rPr>
              <w:t>原件且</w:t>
            </w:r>
            <w:r>
              <w:rPr>
                <w:rFonts w:hint="eastAsia" w:ascii="仿宋" w:hAnsi="仿宋" w:eastAsia="仿宋" w:cs="仿宋"/>
                <w:color w:val="000000"/>
                <w:sz w:val="28"/>
                <w:szCs w:val="28"/>
                <w:highlight w:val="none"/>
                <w:lang w:bidi="ar"/>
              </w:rPr>
              <w:t>备案证明</w:t>
            </w:r>
            <w:r>
              <w:rPr>
                <w:rFonts w:hint="eastAsia" w:ascii="仿宋" w:hAnsi="仿宋" w:eastAsia="仿宋" w:cs="仿宋"/>
                <w:color w:val="000000"/>
                <w:sz w:val="28"/>
                <w:szCs w:val="28"/>
                <w:highlight w:val="none"/>
                <w:lang w:val="en-US" w:eastAsia="zh-CN" w:bidi="ar"/>
              </w:rPr>
              <w:t>复印件加盖供应商鲜章附于响应文件内，未按规定提供或未提供的不得分。</w:t>
            </w:r>
          </w:p>
        </w:tc>
      </w:tr>
      <w:tr w14:paraId="2C78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848" w:type="dxa"/>
            <w:vMerge w:val="continue"/>
            <w:vAlign w:val="center"/>
          </w:tcPr>
          <w:p w14:paraId="1A59FA92">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highlight w:val="none"/>
              </w:rPr>
            </w:pPr>
          </w:p>
        </w:tc>
        <w:tc>
          <w:tcPr>
            <w:tcW w:w="866" w:type="dxa"/>
            <w:vAlign w:val="center"/>
          </w:tcPr>
          <w:p w14:paraId="797C10C9">
            <w:pPr>
              <w:snapToGrid w:val="0"/>
              <w:rPr>
                <w:rFonts w:hint="default" w:ascii="仿宋" w:hAnsi="仿宋" w:eastAsia="仿宋" w:cs="仿宋"/>
                <w:color w:val="000000"/>
                <w:sz w:val="28"/>
                <w:szCs w:val="28"/>
                <w:highlight w:val="none"/>
                <w:lang w:val="en-US" w:eastAsia="zh-CN" w:bidi="ar"/>
              </w:rPr>
            </w:pPr>
            <w:r>
              <w:rPr>
                <w:rFonts w:hint="eastAsia" w:ascii="仿宋" w:hAnsi="仿宋" w:eastAsia="仿宋" w:cs="仿宋"/>
                <w:color w:val="000000"/>
                <w:kern w:val="2"/>
                <w:sz w:val="28"/>
                <w:szCs w:val="28"/>
                <w:highlight w:val="none"/>
                <w:lang w:val="en-US" w:eastAsia="zh-CN" w:bidi="ar"/>
              </w:rPr>
              <w:t>类似业绩8分</w:t>
            </w:r>
          </w:p>
        </w:tc>
        <w:tc>
          <w:tcPr>
            <w:tcW w:w="7764" w:type="dxa"/>
            <w:vAlign w:val="center"/>
          </w:tcPr>
          <w:p w14:paraId="2F247C38">
            <w:pPr>
              <w:snapToGrid w:val="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提供自2021年1月1日以来具有类似业绩的，每有一项得2分，本项最多得8分。</w:t>
            </w:r>
          </w:p>
          <w:p w14:paraId="57D4B72E">
            <w:pPr>
              <w:snapToGrid w:val="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注：提供合同原件且合同复印件加盖供应商鲜章附于响应文件内，时间以合同签订时间为准，未按规定提供或未提供的不得分。</w:t>
            </w:r>
          </w:p>
        </w:tc>
      </w:tr>
      <w:tr w14:paraId="69B7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848" w:type="dxa"/>
            <w:vMerge w:val="restart"/>
            <w:vAlign w:val="center"/>
          </w:tcPr>
          <w:p w14:paraId="156FA49A">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技术部分</w:t>
            </w:r>
          </w:p>
        </w:tc>
        <w:tc>
          <w:tcPr>
            <w:tcW w:w="866" w:type="dxa"/>
            <w:vMerge w:val="restart"/>
            <w:vAlign w:val="center"/>
          </w:tcPr>
          <w:p w14:paraId="50A891FD">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bidi="ar-SA"/>
              </w:rPr>
            </w:pPr>
            <w:r>
              <w:rPr>
                <w:rStyle w:val="21"/>
                <w:rFonts w:hint="eastAsia" w:ascii="仿宋" w:hAnsi="仿宋" w:eastAsia="仿宋" w:cs="仿宋"/>
                <w:b w:val="0"/>
                <w:kern w:val="0"/>
                <w:sz w:val="28"/>
                <w:szCs w:val="28"/>
                <w:highlight w:val="none"/>
                <w:lang w:val="en-US" w:eastAsia="zh-CN" w:bidi="ar-SA"/>
              </w:rPr>
              <w:t>72分</w:t>
            </w:r>
          </w:p>
        </w:tc>
        <w:tc>
          <w:tcPr>
            <w:tcW w:w="7764" w:type="dxa"/>
            <w:vAlign w:val="center"/>
          </w:tcPr>
          <w:p w14:paraId="1A6E5D91">
            <w:pPr>
              <w:keepNext w:val="0"/>
              <w:keepLines w:val="0"/>
              <w:pageBreakBefore w:val="0"/>
              <w:widowControl w:val="0"/>
              <w:kinsoku/>
              <w:wordWrap/>
              <w:overflowPunct/>
              <w:topLinePunct w:val="0"/>
              <w:autoSpaceDE/>
              <w:autoSpaceDN/>
              <w:bidi w:val="0"/>
              <w:adjustRightInd/>
              <w:snapToGrid w:val="0"/>
              <w:ind w:firstLine="560" w:firstLineChars="200"/>
              <w:textAlignment w:val="auto"/>
              <w:rPr>
                <w:rStyle w:val="21"/>
                <w:rFonts w:hint="eastAsia" w:ascii="仿宋" w:hAnsi="仿宋" w:eastAsia="仿宋" w:cs="仿宋"/>
                <w:b w:val="0"/>
                <w:kern w:val="0"/>
                <w:sz w:val="28"/>
                <w:szCs w:val="28"/>
                <w:highlight w:val="none"/>
                <w:lang w:val="en-US" w:eastAsia="zh-CN" w:bidi="ar-SA"/>
              </w:rPr>
            </w:pPr>
            <w:r>
              <w:rPr>
                <w:rStyle w:val="21"/>
                <w:rFonts w:hint="eastAsia" w:ascii="仿宋" w:hAnsi="仿宋" w:eastAsia="仿宋" w:cs="仿宋"/>
                <w:b w:val="0"/>
                <w:kern w:val="0"/>
                <w:sz w:val="28"/>
                <w:szCs w:val="28"/>
                <w:highlight w:val="none"/>
                <w:lang w:val="en-US" w:eastAsia="zh-CN" w:bidi="ar-SA"/>
              </w:rPr>
              <w:t>1、所技术参数完全满足技术要求得30分，标注“▲”号的为关键参数，每有一项关键性参数负偏离的扣2分，扣完为止；未标注“▲”号的参数为非关键参数，每有一项非关键参数负偏离的扣减1分，扣完为止。</w:t>
            </w:r>
          </w:p>
          <w:p w14:paraId="0A54EAF3">
            <w:pPr>
              <w:keepNext w:val="0"/>
              <w:keepLines w:val="0"/>
              <w:pageBreakBefore w:val="0"/>
              <w:widowControl w:val="0"/>
              <w:kinsoku/>
              <w:wordWrap/>
              <w:overflowPunct/>
              <w:topLinePunct w:val="0"/>
              <w:autoSpaceDE/>
              <w:autoSpaceDN/>
              <w:bidi w:val="0"/>
              <w:adjustRightInd/>
              <w:snapToGrid w:val="0"/>
              <w:ind w:firstLine="562" w:firstLineChars="200"/>
              <w:textAlignment w:val="auto"/>
              <w:rPr>
                <w:rFonts w:hint="eastAsia" w:ascii="仿宋" w:hAnsi="仿宋" w:eastAsia="仿宋" w:cs="仿宋"/>
                <w:color w:val="000000"/>
                <w:sz w:val="28"/>
                <w:szCs w:val="28"/>
                <w:highlight w:val="none"/>
                <w:lang w:val="en-US" w:eastAsia="zh-CN" w:bidi="ar"/>
              </w:rPr>
            </w:pPr>
            <w:r>
              <w:rPr>
                <w:rStyle w:val="21"/>
                <w:rFonts w:hint="eastAsia" w:ascii="仿宋" w:hAnsi="仿宋" w:eastAsia="仿宋" w:cs="仿宋"/>
                <w:b/>
                <w:bCs w:val="0"/>
                <w:kern w:val="0"/>
                <w:sz w:val="28"/>
                <w:szCs w:val="28"/>
                <w:highlight w:val="none"/>
                <w:lang w:val="en-US" w:eastAsia="zh-CN" w:bidi="ar-SA"/>
              </w:rPr>
              <w:t>注：需按技术参数要求提供证明材料。未提供视为技术参数负偏离。</w:t>
            </w:r>
          </w:p>
        </w:tc>
      </w:tr>
      <w:tr w14:paraId="1D09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48" w:type="dxa"/>
            <w:vMerge w:val="continue"/>
            <w:vAlign w:val="center"/>
          </w:tcPr>
          <w:p w14:paraId="4B34A6CD">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p>
        </w:tc>
        <w:tc>
          <w:tcPr>
            <w:tcW w:w="866" w:type="dxa"/>
            <w:vMerge w:val="continue"/>
            <w:vAlign w:val="center"/>
          </w:tcPr>
          <w:p w14:paraId="642EFC41">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bidi="ar-SA"/>
              </w:rPr>
            </w:pPr>
          </w:p>
        </w:tc>
        <w:tc>
          <w:tcPr>
            <w:tcW w:w="7764" w:type="dxa"/>
            <w:vAlign w:val="center"/>
          </w:tcPr>
          <w:p w14:paraId="710466B2">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default" w:ascii="仿宋" w:hAnsi="仿宋" w:eastAsia="仿宋" w:cs="仿宋"/>
                <w:b w:val="0"/>
                <w:kern w:val="0"/>
                <w:sz w:val="28"/>
                <w:szCs w:val="28"/>
                <w:highlight w:val="none"/>
                <w:lang w:val="en-US" w:eastAsia="zh-CN" w:bidi="ar-SA"/>
              </w:rPr>
            </w:pPr>
            <w:r>
              <w:rPr>
                <w:rStyle w:val="21"/>
                <w:rFonts w:hint="eastAsia" w:ascii="仿宋" w:hAnsi="仿宋" w:eastAsia="仿宋" w:cs="仿宋"/>
                <w:b w:val="0"/>
                <w:kern w:val="0"/>
                <w:sz w:val="28"/>
                <w:szCs w:val="28"/>
                <w:highlight w:val="none"/>
                <w:lang w:val="en-US" w:eastAsia="zh-CN" w:bidi="ar-SA"/>
              </w:rPr>
              <w:t>2、根据供应商针对三维医学影像手术计划数据处理提供的服务方案（包含但不限于服务内容、服务流程、双方的权利和义务）进行评审，服务方案符合度高、详细具体、完善合理的得10分，每发现一处不合理之处扣1分，扣完为止。</w:t>
            </w:r>
          </w:p>
        </w:tc>
      </w:tr>
      <w:tr w14:paraId="4ACC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48" w:type="dxa"/>
            <w:vMerge w:val="continue"/>
            <w:vAlign w:val="center"/>
          </w:tcPr>
          <w:p w14:paraId="398159B0">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p>
        </w:tc>
        <w:tc>
          <w:tcPr>
            <w:tcW w:w="866" w:type="dxa"/>
            <w:vMerge w:val="continue"/>
            <w:vAlign w:val="center"/>
          </w:tcPr>
          <w:p w14:paraId="73A9AA16">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bidi="ar-SA"/>
              </w:rPr>
            </w:pPr>
          </w:p>
        </w:tc>
        <w:tc>
          <w:tcPr>
            <w:tcW w:w="7764" w:type="dxa"/>
            <w:vAlign w:val="center"/>
          </w:tcPr>
          <w:p w14:paraId="1119A172">
            <w:pPr>
              <w:keepNext w:val="0"/>
              <w:keepLines w:val="0"/>
              <w:pageBreakBefore w:val="0"/>
              <w:widowControl w:val="0"/>
              <w:kinsoku/>
              <w:wordWrap/>
              <w:overflowPunct/>
              <w:topLinePunct w:val="0"/>
              <w:autoSpaceDE/>
              <w:autoSpaceDN/>
              <w:bidi w:val="0"/>
              <w:adjustRightInd/>
              <w:snapToGrid w:val="0"/>
              <w:ind w:firstLine="560" w:firstLineChars="200"/>
              <w:textAlignment w:val="auto"/>
              <w:rPr>
                <w:rStyle w:val="21"/>
                <w:rFonts w:hint="default" w:ascii="仿宋" w:hAnsi="仿宋" w:eastAsia="仿宋" w:cs="仿宋"/>
                <w:b w:val="0"/>
                <w:kern w:val="0"/>
                <w:sz w:val="28"/>
                <w:szCs w:val="28"/>
                <w:highlight w:val="none"/>
                <w:lang w:val="en-US" w:eastAsia="zh-CN" w:bidi="ar-SA"/>
              </w:rPr>
            </w:pPr>
            <w:r>
              <w:rPr>
                <w:rStyle w:val="21"/>
                <w:rFonts w:hint="eastAsia" w:ascii="仿宋" w:hAnsi="仿宋" w:eastAsia="仿宋" w:cs="仿宋"/>
                <w:b w:val="0"/>
                <w:kern w:val="0"/>
                <w:sz w:val="28"/>
                <w:szCs w:val="28"/>
                <w:highlight w:val="none"/>
                <w:lang w:val="en-US" w:eastAsia="zh-CN" w:bidi="ar-SA"/>
              </w:rPr>
              <w:t>3、根据供应商针对三维医学影像手术计划数据处理服务数据进场标准和交付标准提供的服务方案进行评审，标准符合度高、详细具体、完善合理的得10分，每发现一处不合理之处扣1分，扣完为止。</w:t>
            </w:r>
          </w:p>
        </w:tc>
      </w:tr>
      <w:tr w14:paraId="47CD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48" w:type="dxa"/>
            <w:vMerge w:val="continue"/>
            <w:vAlign w:val="center"/>
          </w:tcPr>
          <w:p w14:paraId="03E7D91C">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p>
        </w:tc>
        <w:tc>
          <w:tcPr>
            <w:tcW w:w="866" w:type="dxa"/>
            <w:vMerge w:val="continue"/>
            <w:vAlign w:val="center"/>
          </w:tcPr>
          <w:p w14:paraId="677AFB0A">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bidi="ar-SA"/>
              </w:rPr>
            </w:pPr>
          </w:p>
        </w:tc>
        <w:tc>
          <w:tcPr>
            <w:tcW w:w="7764" w:type="dxa"/>
            <w:vAlign w:val="center"/>
          </w:tcPr>
          <w:p w14:paraId="230B789F">
            <w:pPr>
              <w:keepNext w:val="0"/>
              <w:keepLines w:val="0"/>
              <w:pageBreakBefore w:val="0"/>
              <w:widowControl w:val="0"/>
              <w:kinsoku/>
              <w:wordWrap/>
              <w:overflowPunct/>
              <w:topLinePunct w:val="0"/>
              <w:autoSpaceDE/>
              <w:autoSpaceDN/>
              <w:bidi w:val="0"/>
              <w:adjustRightInd/>
              <w:snapToGrid w:val="0"/>
              <w:ind w:firstLine="560" w:firstLineChars="200"/>
              <w:textAlignment w:val="auto"/>
              <w:rPr>
                <w:rStyle w:val="21"/>
                <w:rFonts w:hint="default" w:ascii="仿宋" w:hAnsi="仿宋" w:eastAsia="仿宋" w:cs="仿宋"/>
                <w:b w:val="0"/>
                <w:kern w:val="0"/>
                <w:sz w:val="28"/>
                <w:szCs w:val="28"/>
                <w:highlight w:val="none"/>
                <w:lang w:val="en-US" w:eastAsia="zh-CN" w:bidi="ar-SA"/>
              </w:rPr>
            </w:pPr>
            <w:r>
              <w:rPr>
                <w:rStyle w:val="21"/>
                <w:rFonts w:hint="eastAsia" w:ascii="仿宋" w:hAnsi="仿宋" w:eastAsia="仿宋" w:cs="仿宋"/>
                <w:b w:val="0"/>
                <w:kern w:val="0"/>
                <w:sz w:val="28"/>
                <w:szCs w:val="28"/>
                <w:highlight w:val="none"/>
                <w:lang w:val="en-US" w:eastAsia="zh-CN" w:bidi="ar-SA"/>
              </w:rPr>
              <w:t>4、根据供应商针对三维医学影像手术计划数据处理服务数据安全管理（包含但不限于数据脱敏、数据加密、设置权限等）进行评审，安全性能高、详细具体、完善合理的得10分，每发现一处不合理之处扣1分，扣完为止。</w:t>
            </w:r>
          </w:p>
        </w:tc>
      </w:tr>
      <w:tr w14:paraId="7F2B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48" w:type="dxa"/>
            <w:vMerge w:val="continue"/>
            <w:vAlign w:val="center"/>
          </w:tcPr>
          <w:p w14:paraId="6F46B0CC">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p>
        </w:tc>
        <w:tc>
          <w:tcPr>
            <w:tcW w:w="866" w:type="dxa"/>
            <w:vMerge w:val="continue"/>
            <w:vAlign w:val="center"/>
          </w:tcPr>
          <w:p w14:paraId="4FC76A9E">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bidi="ar-SA"/>
              </w:rPr>
            </w:pPr>
          </w:p>
        </w:tc>
        <w:tc>
          <w:tcPr>
            <w:tcW w:w="7764" w:type="dxa"/>
            <w:vAlign w:val="center"/>
          </w:tcPr>
          <w:p w14:paraId="314DE9AB">
            <w:pPr>
              <w:keepNext w:val="0"/>
              <w:keepLines w:val="0"/>
              <w:pageBreakBefore w:val="0"/>
              <w:widowControl w:val="0"/>
              <w:kinsoku/>
              <w:wordWrap/>
              <w:overflowPunct/>
              <w:topLinePunct w:val="0"/>
              <w:autoSpaceDE/>
              <w:autoSpaceDN/>
              <w:bidi w:val="0"/>
              <w:adjustRightInd/>
              <w:snapToGrid w:val="0"/>
              <w:ind w:firstLine="560" w:firstLineChars="200"/>
              <w:textAlignment w:val="auto"/>
              <w:rPr>
                <w:rStyle w:val="21"/>
                <w:rFonts w:hint="eastAsia" w:ascii="仿宋" w:hAnsi="仿宋" w:eastAsia="仿宋" w:cs="仿宋"/>
                <w:b w:val="0"/>
                <w:kern w:val="0"/>
                <w:sz w:val="28"/>
                <w:szCs w:val="28"/>
                <w:highlight w:val="none"/>
                <w:lang w:val="en-US" w:eastAsia="zh-CN" w:bidi="ar-SA"/>
              </w:rPr>
            </w:pPr>
            <w:r>
              <w:rPr>
                <w:rStyle w:val="21"/>
                <w:rFonts w:hint="eastAsia" w:ascii="仿宋" w:hAnsi="仿宋" w:eastAsia="仿宋" w:cs="仿宋"/>
                <w:b w:val="0"/>
                <w:kern w:val="0"/>
                <w:sz w:val="28"/>
                <w:szCs w:val="28"/>
                <w:highlight w:val="none"/>
                <w:lang w:val="en-US" w:eastAsia="zh-CN" w:bidi="ar-SA"/>
              </w:rPr>
              <w:t>5、根据供应商针对本项目提供的培训方案（包括但不限于培训内容、培训方式等）进行评审，方案详细具体、完善合理的得6分，每发现一处不合理之处扣1分，扣完为止。</w:t>
            </w:r>
          </w:p>
        </w:tc>
      </w:tr>
      <w:tr w14:paraId="679E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48" w:type="dxa"/>
            <w:vMerge w:val="continue"/>
            <w:vAlign w:val="center"/>
          </w:tcPr>
          <w:p w14:paraId="1C0EDFE5">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p>
        </w:tc>
        <w:tc>
          <w:tcPr>
            <w:tcW w:w="866" w:type="dxa"/>
            <w:vMerge w:val="continue"/>
            <w:vAlign w:val="center"/>
          </w:tcPr>
          <w:p w14:paraId="4A263B31">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p>
        </w:tc>
        <w:tc>
          <w:tcPr>
            <w:tcW w:w="7764" w:type="dxa"/>
            <w:vAlign w:val="top"/>
          </w:tcPr>
          <w:p w14:paraId="63173133">
            <w:pPr>
              <w:pStyle w:val="39"/>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rPr>
                <w:rStyle w:val="21"/>
                <w:rFonts w:hint="default" w:ascii="仿宋" w:hAnsi="仿宋" w:eastAsia="仿宋" w:cs="仿宋"/>
                <w:b w:val="0"/>
                <w:kern w:val="0"/>
                <w:sz w:val="28"/>
                <w:szCs w:val="28"/>
                <w:highlight w:val="none"/>
                <w:lang w:val="en-US" w:eastAsia="zh-CN" w:bidi="ar-SA"/>
              </w:rPr>
            </w:pPr>
            <w:r>
              <w:rPr>
                <w:rStyle w:val="21"/>
                <w:rFonts w:hint="eastAsia" w:ascii="仿宋" w:hAnsi="仿宋" w:eastAsia="仿宋" w:cs="仿宋"/>
                <w:b w:val="0"/>
                <w:kern w:val="0"/>
                <w:sz w:val="28"/>
                <w:szCs w:val="28"/>
                <w:highlight w:val="none"/>
                <w:lang w:val="en-US" w:eastAsia="zh-CN" w:bidi="ar-SA"/>
              </w:rPr>
              <w:t>6、根据供应商提供的售后服务方案（包括但不限于响应时间、修复时间、故障解决、驻场工程师等）进行综合评审，具有完善、具体、可行的得6分，每发现一处不合理之处扣1分，扣完为止。</w:t>
            </w:r>
          </w:p>
        </w:tc>
      </w:tr>
      <w:tr w14:paraId="559E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48" w:type="dxa"/>
            <w:vAlign w:val="center"/>
          </w:tcPr>
          <w:p w14:paraId="2CBE66A4">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bidi="ar-SA"/>
              </w:rPr>
              <w:t>优惠条款</w:t>
            </w:r>
          </w:p>
        </w:tc>
        <w:tc>
          <w:tcPr>
            <w:tcW w:w="866" w:type="dxa"/>
            <w:vAlign w:val="center"/>
          </w:tcPr>
          <w:p w14:paraId="0BC45F39">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2分</w:t>
            </w:r>
          </w:p>
        </w:tc>
        <w:tc>
          <w:tcPr>
            <w:tcW w:w="7764" w:type="dxa"/>
            <w:vAlign w:val="top"/>
          </w:tcPr>
          <w:p w14:paraId="19FB359A">
            <w:pPr>
              <w:pStyle w:val="39"/>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rPr>
                <w:rStyle w:val="21"/>
                <w:rFonts w:hint="eastAsia" w:ascii="仿宋" w:hAnsi="仿宋" w:eastAsia="仿宋" w:cs="仿宋"/>
                <w:b w:val="0"/>
                <w:kern w:val="0"/>
                <w:sz w:val="28"/>
                <w:szCs w:val="28"/>
                <w:highlight w:val="none"/>
                <w:lang w:val="en-US" w:eastAsia="zh-CN" w:bidi="ar-SA"/>
              </w:rPr>
            </w:pPr>
            <w:r>
              <w:rPr>
                <w:rStyle w:val="21"/>
                <w:rFonts w:hint="eastAsia" w:ascii="仿宋" w:hAnsi="仿宋" w:eastAsia="仿宋" w:cs="仿宋"/>
                <w:b w:val="0"/>
                <w:kern w:val="0"/>
                <w:sz w:val="28"/>
                <w:szCs w:val="28"/>
                <w:highlight w:val="none"/>
                <w:lang w:val="en-US" w:eastAsia="zh-CN" w:bidi="ar-SA"/>
              </w:rPr>
              <w:t>供应商提供的优惠条款符合采购项目需求、具有可操作性和实用性的每有一条得1分，最多得2分。</w:t>
            </w:r>
          </w:p>
        </w:tc>
      </w:tr>
    </w:tbl>
    <w:p w14:paraId="0A093147">
      <w:pPr>
        <w:pStyle w:val="10"/>
        <w:spacing w:line="400" w:lineRule="exact"/>
        <w:jc w:val="center"/>
        <w:rPr>
          <w:rStyle w:val="21"/>
          <w:rFonts w:ascii="仿宋" w:hAnsi="仿宋" w:eastAsia="仿宋" w:cs="宋体"/>
          <w:kern w:val="0"/>
          <w:sz w:val="28"/>
          <w:highlight w:val="none"/>
        </w:rPr>
      </w:pPr>
    </w:p>
    <w:p w14:paraId="31EFDB16">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lang w:eastAsia="zh-CN"/>
        </w:rPr>
        <w:t>响应文件</w:t>
      </w:r>
      <w:r>
        <w:rPr>
          <w:rFonts w:hint="eastAsia" w:ascii="仿宋" w:hAnsi="仿宋" w:eastAsia="仿宋" w:cs="宋体"/>
          <w:b/>
          <w:sz w:val="28"/>
          <w:szCs w:val="28"/>
          <w:highlight w:val="none"/>
        </w:rPr>
        <w:t>处理，并应接受采购人及监督部门作出的一切处罚决定。</w:t>
      </w:r>
    </w:p>
    <w:p w14:paraId="4489817B">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b、本次报价采用综合评分法，即以综合得分最高的供应商为成交供应商，不以最低价为成交标准，满分为100分，保留两位小数，四舍五入。</w:t>
      </w:r>
    </w:p>
    <w:p w14:paraId="57DCC216">
      <w:pPr>
        <w:pStyle w:val="8"/>
        <w:spacing w:after="0"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三）</w:t>
      </w:r>
      <w:r>
        <w:rPr>
          <w:rFonts w:hint="eastAsia" w:ascii="仿宋" w:hAnsi="仿宋" w:eastAsia="仿宋" w:cs="宋体"/>
          <w:bCs/>
          <w:sz w:val="28"/>
          <w:szCs w:val="28"/>
          <w:highlight w:val="none"/>
        </w:rPr>
        <w:t>终止采购</w:t>
      </w:r>
      <w:r>
        <w:rPr>
          <w:rFonts w:hint="eastAsia" w:ascii="仿宋" w:hAnsi="仿宋" w:eastAsia="仿宋" w:cs="宋体"/>
          <w:bCs/>
          <w:sz w:val="28"/>
          <w:szCs w:val="28"/>
          <w:highlight w:val="none"/>
          <w:lang w:eastAsia="zh-CN"/>
        </w:rPr>
        <w:t>：</w:t>
      </w: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14:paraId="1A21E3DC">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14:paraId="202FD808">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14:paraId="4869C0C4">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14:paraId="45DF1C5F">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四）</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A49B655">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14:paraId="5A980AC4">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14:paraId="0AC7CA26">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14:paraId="61341302">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14:paraId="084C1280">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14:paraId="1A2B7391">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14:paraId="403EEF16">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14:paraId="1137A395">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14:paraId="2EFD6FDF">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14:paraId="38968FC4">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14:paraId="22379824">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14:paraId="560507DF">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以及评审过程中的有关澄清、承诺文件均为合同的组成部分。</w:t>
      </w:r>
    </w:p>
    <w:p w14:paraId="52B430B2">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3、政府采购合同的双方当事人不得擅自变更、中止或者终止合同。</w:t>
      </w:r>
    </w:p>
    <w:p w14:paraId="1C431FA3">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14:paraId="6D5BF08A">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14:paraId="665B3DEB">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14:paraId="437F471D">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14:paraId="270EEFD5">
      <w:pPr>
        <w:pStyle w:val="10"/>
        <w:spacing w:line="400" w:lineRule="exact"/>
        <w:ind w:firstLine="560" w:firstLineChars="200"/>
        <w:rPr>
          <w:rStyle w:val="21"/>
          <w:rFonts w:ascii="仿宋" w:hAnsi="仿宋" w:eastAsia="仿宋" w:cs="宋体"/>
          <w:b w:val="0"/>
          <w:kern w:val="0"/>
          <w:sz w:val="28"/>
          <w:highlight w:val="none"/>
        </w:rPr>
      </w:pPr>
    </w:p>
    <w:p w14:paraId="17C9DA59">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604A820D">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第五部分 项目说明及要求</w:t>
      </w:r>
    </w:p>
    <w:p w14:paraId="42D91AA3">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default" w:ascii="仿宋" w:hAnsi="仿宋" w:eastAsia="仿宋" w:cs="Times New Roman"/>
          <w:b/>
          <w:sz w:val="28"/>
          <w:highlight w:val="none"/>
          <w:lang w:val="en-US" w:eastAsia="zh-CN"/>
        </w:rPr>
      </w:pPr>
      <w:r>
        <w:rPr>
          <w:rFonts w:hint="eastAsia" w:ascii="仿宋" w:hAnsi="仿宋" w:eastAsia="仿宋" w:cs="Times New Roman"/>
          <w:b/>
          <w:sz w:val="28"/>
          <w:highlight w:val="none"/>
        </w:rPr>
        <w:t>一、</w:t>
      </w:r>
      <w:r>
        <w:rPr>
          <w:rFonts w:hint="eastAsia" w:ascii="仿宋" w:hAnsi="仿宋" w:eastAsia="仿宋" w:cs="Times New Roman"/>
          <w:b/>
          <w:sz w:val="28"/>
          <w:highlight w:val="none"/>
          <w:lang w:val="en-US" w:eastAsia="zh-CN"/>
        </w:rPr>
        <w:t>项目说明及</w:t>
      </w:r>
      <w:r>
        <w:rPr>
          <w:rFonts w:hint="eastAsia" w:ascii="仿宋" w:hAnsi="仿宋" w:eastAsia="仿宋" w:cs="Times New Roman"/>
          <w:b/>
          <w:kern w:val="2"/>
          <w:sz w:val="28"/>
          <w:szCs w:val="32"/>
          <w:highlight w:val="none"/>
          <w:lang w:val="en-US" w:eastAsia="zh-CN" w:bidi="ar-SA"/>
        </w:rPr>
        <w:t>服务内容</w:t>
      </w:r>
    </w:p>
    <w:p w14:paraId="27C0B900">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为提升医院智慧医疗、精准医疗的社会服务能力，我院将开展应用三维医学影像手术计划数据处理服务。</w:t>
      </w:r>
    </w:p>
    <w:p w14:paraId="74F4B1C4">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微山县人民医院三维医学影像手术计划数据处理服务项目主要内容包括：</w:t>
      </w:r>
    </w:p>
    <w:p w14:paraId="4550CC6D">
      <w:pPr>
        <w:keepNext w:val="0"/>
        <w:keepLines w:val="0"/>
        <w:pageBreakBefore w:val="0"/>
        <w:widowControl w:val="0"/>
        <w:numPr>
          <w:ilvl w:val="0"/>
          <w:numId w:val="0"/>
        </w:numPr>
        <w:kinsoku/>
        <w:wordWrap/>
        <w:overflowPunct/>
        <w:topLinePunct w:val="0"/>
        <w:bidi w:val="0"/>
        <w:snapToGrid/>
        <w:spacing w:line="4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（1）</w:t>
      </w:r>
      <w:r>
        <w:rPr>
          <w:rFonts w:hint="eastAsia" w:ascii="仿宋" w:hAnsi="仿宋" w:eastAsia="仿宋" w:cs="仿宋"/>
          <w:color w:val="auto"/>
          <w:sz w:val="28"/>
          <w:szCs w:val="28"/>
          <w:highlight w:val="none"/>
          <w:lang w:val="en-US" w:eastAsia="zh-CN"/>
        </w:rPr>
        <w:t>提供预估800个部位的三维医学影像手术计划数据处理服务，按照实际服务数量计取服务费用；</w:t>
      </w:r>
    </w:p>
    <w:p w14:paraId="4CDA4300">
      <w:pPr>
        <w:keepNext w:val="0"/>
        <w:keepLines w:val="0"/>
        <w:pageBreakBefore w:val="0"/>
        <w:widowControl w:val="0"/>
        <w:numPr>
          <w:ilvl w:val="0"/>
          <w:numId w:val="0"/>
        </w:numPr>
        <w:kinsoku/>
        <w:wordWrap/>
        <w:overflowPunct/>
        <w:topLinePunct w:val="0"/>
        <w:bidi w:val="0"/>
        <w:snapToGrid/>
        <w:spacing w:line="4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（2）提供基于符合DICOM标准的医学图像CT及MR数据的三维医学影像手术计划数据处理服务，内涵3D可视化模型重建+三维重建说明。辅助术前诊断、术中指导及术后评估。</w:t>
      </w:r>
    </w:p>
    <w:p w14:paraId="2A1A88D7">
      <w:pPr>
        <w:keepNext w:val="0"/>
        <w:keepLines w:val="0"/>
        <w:pageBreakBefore w:val="0"/>
        <w:widowControl w:val="0"/>
        <w:numPr>
          <w:ilvl w:val="0"/>
          <w:numId w:val="0"/>
        </w:numPr>
        <w:kinsoku/>
        <w:wordWrap/>
        <w:overflowPunct/>
        <w:topLinePunct w:val="0"/>
        <w:bidi w:val="0"/>
        <w:snapToGrid/>
        <w:spacing w:line="400" w:lineRule="exact"/>
        <w:ind w:firstLine="560" w:firstLineChars="200"/>
        <w:textAlignment w:val="auto"/>
        <w:rPr>
          <w:rFonts w:hint="default" w:eastAsia="仿宋_GB2312"/>
          <w:b/>
          <w:bCs/>
          <w:highlight w:val="none"/>
          <w:lang w:val="en-US" w:eastAsia="zh-CN"/>
        </w:rPr>
      </w:pPr>
      <w:r>
        <w:rPr>
          <w:rFonts w:hint="eastAsia" w:ascii="仿宋" w:hAnsi="仿宋" w:eastAsia="仿宋" w:cs="仿宋"/>
          <w:color w:val="auto"/>
          <w:sz w:val="28"/>
          <w:szCs w:val="28"/>
          <w:highlight w:val="none"/>
          <w:lang w:val="en-US" w:eastAsia="zh-CN"/>
        </w:rPr>
        <w:t>（3）服务科室范围：提供三维医学影像手术计划数据处理服务的服务范围包含但不限于肝胆外科、胸外科、神经外科、乳腺外科、头颈外科、妇产科、泌尿外科、胃肠外科、心外科、骨外科等影像处理。</w:t>
      </w:r>
      <w:r>
        <w:rPr>
          <w:rFonts w:hint="eastAsia" w:ascii="仿宋" w:hAnsi="仿宋" w:eastAsia="仿宋" w:cs="仿宋"/>
          <w:b/>
          <w:bCs/>
          <w:color w:val="FF0000"/>
          <w:sz w:val="28"/>
          <w:szCs w:val="28"/>
          <w:highlight w:val="none"/>
          <w:lang w:val="en-US" w:eastAsia="zh-CN"/>
        </w:rPr>
        <w:t>成交供应商须提供包含但不限于能服务以上各科室数据处理的质量标准：包含数据进场、交付标准。未按要求提供的采购人有权终止合同。</w:t>
      </w:r>
    </w:p>
    <w:p w14:paraId="1263A80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仿宋" w:hAnsi="仿宋" w:eastAsia="仿宋" w:cs="仿宋"/>
          <w:b/>
          <w:kern w:val="2"/>
          <w:sz w:val="28"/>
          <w:szCs w:val="32"/>
          <w:highlight w:val="none"/>
          <w:lang w:val="en-US" w:eastAsia="zh-CN" w:bidi="ar-SA"/>
        </w:rPr>
      </w:pPr>
      <w:r>
        <w:rPr>
          <w:rFonts w:hint="eastAsia" w:ascii="仿宋" w:hAnsi="仿宋" w:eastAsia="仿宋" w:cs="Times New Roman"/>
          <w:b/>
          <w:kern w:val="2"/>
          <w:sz w:val="28"/>
          <w:szCs w:val="32"/>
          <w:highlight w:val="none"/>
          <w:lang w:val="en-US" w:eastAsia="zh-CN" w:bidi="ar-SA"/>
        </w:rPr>
        <w:t>二、</w:t>
      </w:r>
      <w:bookmarkStart w:id="2" w:name="_Toc18446"/>
      <w:r>
        <w:rPr>
          <w:rFonts w:hint="eastAsia" w:ascii="仿宋" w:hAnsi="仿宋" w:eastAsia="仿宋" w:cs="仿宋"/>
          <w:b/>
          <w:kern w:val="2"/>
          <w:sz w:val="28"/>
          <w:szCs w:val="32"/>
          <w:highlight w:val="none"/>
          <w:lang w:val="en-US" w:eastAsia="zh-CN" w:bidi="ar-SA"/>
        </w:rPr>
        <w:t>质量标准</w:t>
      </w:r>
      <w:bookmarkEnd w:id="2"/>
    </w:p>
    <w:p w14:paraId="61E3FB13">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三维医学影像手术计划数据处理服务质量标准（国家标准、行业标准、地方标准等标准、规范）。</w:t>
      </w:r>
    </w:p>
    <w:p w14:paraId="766C6F7F">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质量标准：包括3D可视化模型标准和三维重建说明标准。</w:t>
      </w:r>
    </w:p>
    <w:p w14:paraId="7B801CB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1.肝胆外科</w:t>
      </w:r>
    </w:p>
    <w:p w14:paraId="7E5EAB50">
      <w:pPr>
        <w:pStyle w:val="41"/>
        <w:spacing w:line="360" w:lineRule="auto"/>
        <w:ind w:firstLine="480" w:firstLineChars="200"/>
        <w:rPr>
          <w:rFonts w:hint="eastAsia" w:ascii="仿宋" w:hAnsi="仿宋" w:eastAsia="仿宋" w:cs="仿宋"/>
          <w:color w:val="auto"/>
          <w:sz w:val="24"/>
          <w:highlight w:val="none"/>
        </w:rPr>
      </w:pPr>
      <w:bookmarkStart w:id="3" w:name="_Toc69030624"/>
      <w:bookmarkStart w:id="4" w:name="_Toc505718751"/>
      <w:r>
        <w:rPr>
          <w:rFonts w:hint="eastAsia" w:ascii="仿宋" w:hAnsi="仿宋" w:eastAsia="仿宋" w:cs="仿宋"/>
          <w:color w:val="auto"/>
          <w:sz w:val="24"/>
          <w:highlight w:val="none"/>
        </w:rPr>
        <w:t>1.1 3D模型标准</w:t>
      </w:r>
      <w:bookmarkEnd w:id="3"/>
    </w:p>
    <w:bookmarkEnd w:id="4"/>
    <w:p w14:paraId="3BB57CBD">
      <w:pPr>
        <w:spacing w:after="156" w:afterLines="50"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（1）器官重建标准</w:t>
      </w:r>
    </w:p>
    <w:tbl>
      <w:tblPr>
        <w:tblStyle w:val="18"/>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7285"/>
      </w:tblGrid>
      <w:tr w14:paraId="0470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34" w:type="dxa"/>
            <w:noWrap w:val="0"/>
            <w:vAlign w:val="center"/>
          </w:tcPr>
          <w:p w14:paraId="47D316FE">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分类</w:t>
            </w:r>
          </w:p>
        </w:tc>
        <w:tc>
          <w:tcPr>
            <w:tcW w:w="7285" w:type="dxa"/>
            <w:noWrap w:val="0"/>
            <w:vAlign w:val="center"/>
          </w:tcPr>
          <w:p w14:paraId="1CC7A304">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说明</w:t>
            </w:r>
          </w:p>
        </w:tc>
      </w:tr>
      <w:tr w14:paraId="0B2A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34" w:type="dxa"/>
            <w:noWrap w:val="0"/>
            <w:vAlign w:val="center"/>
          </w:tcPr>
          <w:p w14:paraId="1C7469C4">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肝脏</w:t>
            </w:r>
          </w:p>
        </w:tc>
        <w:tc>
          <w:tcPr>
            <w:tcW w:w="7285" w:type="dxa"/>
            <w:noWrap w:val="0"/>
            <w:vAlign w:val="center"/>
          </w:tcPr>
          <w:p w14:paraId="47744305">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全部肝脏，包括肝脏内血管、胆道、结石、占位</w:t>
            </w:r>
          </w:p>
        </w:tc>
      </w:tr>
      <w:tr w14:paraId="54F0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34" w:type="dxa"/>
            <w:noWrap w:val="0"/>
            <w:vAlign w:val="center"/>
          </w:tcPr>
          <w:p w14:paraId="59A3B7FC">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胆囊</w:t>
            </w:r>
          </w:p>
        </w:tc>
        <w:tc>
          <w:tcPr>
            <w:tcW w:w="7285" w:type="dxa"/>
            <w:noWrap w:val="0"/>
            <w:vAlign w:val="center"/>
          </w:tcPr>
          <w:p w14:paraId="02B3BEDC">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全部胆囊，包括胆囊内占位、结石</w:t>
            </w:r>
          </w:p>
        </w:tc>
      </w:tr>
      <w:tr w14:paraId="4BE9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34" w:type="dxa"/>
            <w:noWrap w:val="0"/>
            <w:vAlign w:val="center"/>
          </w:tcPr>
          <w:p w14:paraId="2B70BD9C">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脾脏</w:t>
            </w:r>
          </w:p>
        </w:tc>
        <w:tc>
          <w:tcPr>
            <w:tcW w:w="7285" w:type="dxa"/>
            <w:noWrap w:val="0"/>
            <w:vAlign w:val="center"/>
          </w:tcPr>
          <w:p w14:paraId="6DDE05F6">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全部脾脏，包括脾内血管、占位</w:t>
            </w:r>
          </w:p>
        </w:tc>
      </w:tr>
      <w:tr w14:paraId="1AB4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34" w:type="dxa"/>
            <w:noWrap w:val="0"/>
            <w:vAlign w:val="center"/>
          </w:tcPr>
          <w:p w14:paraId="46CF9D16">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副脾</w:t>
            </w:r>
          </w:p>
        </w:tc>
        <w:tc>
          <w:tcPr>
            <w:tcW w:w="7285" w:type="dxa"/>
            <w:noWrap w:val="0"/>
            <w:vAlign w:val="center"/>
          </w:tcPr>
          <w:p w14:paraId="6F709B30">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全部副脾（如影像可见）</w:t>
            </w:r>
          </w:p>
        </w:tc>
      </w:tr>
      <w:tr w14:paraId="37D4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34" w:type="dxa"/>
            <w:noWrap w:val="0"/>
            <w:vAlign w:val="center"/>
          </w:tcPr>
          <w:p w14:paraId="748E9C5A">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胰腺</w:t>
            </w:r>
          </w:p>
        </w:tc>
        <w:tc>
          <w:tcPr>
            <w:tcW w:w="7285" w:type="dxa"/>
            <w:noWrap w:val="0"/>
            <w:vAlign w:val="center"/>
          </w:tcPr>
          <w:p w14:paraId="0A4D6E08">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全部胰腺，包括胰腺内血管、胰管、占位</w:t>
            </w:r>
          </w:p>
        </w:tc>
      </w:tr>
      <w:tr w14:paraId="004B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134" w:type="dxa"/>
            <w:noWrap w:val="0"/>
            <w:vAlign w:val="center"/>
          </w:tcPr>
          <w:p w14:paraId="74547934">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淋巴结</w:t>
            </w:r>
          </w:p>
        </w:tc>
        <w:tc>
          <w:tcPr>
            <w:tcW w:w="7285" w:type="dxa"/>
            <w:noWrap w:val="0"/>
            <w:vAlign w:val="center"/>
          </w:tcPr>
          <w:p w14:paraId="62028DCE">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常规重建肝胆外科扫描范围内，短径≥5mm的淋巴结，依据影像所见边界重建</w:t>
            </w:r>
          </w:p>
        </w:tc>
      </w:tr>
      <w:tr w14:paraId="2533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34" w:type="dxa"/>
            <w:noWrap w:val="0"/>
            <w:vAlign w:val="center"/>
          </w:tcPr>
          <w:p w14:paraId="27A1122B">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十二指肠</w:t>
            </w:r>
          </w:p>
        </w:tc>
        <w:tc>
          <w:tcPr>
            <w:tcW w:w="7285" w:type="dxa"/>
            <w:noWrap w:val="0"/>
            <w:vAlign w:val="center"/>
          </w:tcPr>
          <w:p w14:paraId="4E6495AC">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十二指肠外轮廓，起至胃幽门部终于十二指肠升部</w:t>
            </w:r>
          </w:p>
        </w:tc>
      </w:tr>
      <w:tr w14:paraId="77AD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34" w:type="dxa"/>
            <w:noWrap w:val="0"/>
            <w:vAlign w:val="top"/>
          </w:tcPr>
          <w:p w14:paraId="2A459CBF">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皮肤</w:t>
            </w:r>
          </w:p>
        </w:tc>
        <w:tc>
          <w:tcPr>
            <w:tcW w:w="7285" w:type="dxa"/>
            <w:noWrap w:val="0"/>
            <w:vAlign w:val="top"/>
          </w:tcPr>
          <w:p w14:paraId="5FF2D9A6">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皮肤外轮廓，重建皮肤本身</w:t>
            </w:r>
          </w:p>
        </w:tc>
      </w:tr>
      <w:tr w14:paraId="7C09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34" w:type="dxa"/>
            <w:noWrap w:val="0"/>
            <w:vAlign w:val="top"/>
          </w:tcPr>
          <w:p w14:paraId="655F5BA0">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骨骼</w:t>
            </w:r>
          </w:p>
        </w:tc>
        <w:tc>
          <w:tcPr>
            <w:tcW w:w="7285" w:type="dxa"/>
            <w:noWrap w:val="0"/>
            <w:vAlign w:val="top"/>
          </w:tcPr>
          <w:p w14:paraId="09DB55F0">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扫描范围内，与病变关联较近的骨骼</w:t>
            </w:r>
          </w:p>
        </w:tc>
      </w:tr>
      <w:tr w14:paraId="6A94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2134" w:type="dxa"/>
            <w:noWrap w:val="0"/>
            <w:vAlign w:val="center"/>
          </w:tcPr>
          <w:p w14:paraId="23C82E17">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病变周边器官</w:t>
            </w:r>
          </w:p>
        </w:tc>
        <w:tc>
          <w:tcPr>
            <w:tcW w:w="7285" w:type="dxa"/>
            <w:noWrap w:val="0"/>
            <w:vAlign w:val="center"/>
          </w:tcPr>
          <w:p w14:paraId="0E923815">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扫描范围内，与病变关联较近的器官（可能不在重建内容范围内的，比如胃）</w:t>
            </w:r>
          </w:p>
        </w:tc>
      </w:tr>
      <w:tr w14:paraId="42B2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134" w:type="dxa"/>
            <w:noWrap w:val="0"/>
            <w:vAlign w:val="center"/>
          </w:tcPr>
          <w:p w14:paraId="2F61B721">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病变周边肌肉</w:t>
            </w:r>
          </w:p>
        </w:tc>
        <w:tc>
          <w:tcPr>
            <w:tcW w:w="7285" w:type="dxa"/>
            <w:noWrap w:val="0"/>
            <w:vAlign w:val="center"/>
          </w:tcPr>
          <w:p w14:paraId="108FCC8C">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扫描范围内，与病变紧贴、侵犯、包裹给予重建</w:t>
            </w:r>
          </w:p>
        </w:tc>
      </w:tr>
    </w:tbl>
    <w:p w14:paraId="2C8E8FA1">
      <w:pPr>
        <w:pStyle w:val="41"/>
        <w:spacing w:before="156" w:beforeLines="50" w:after="156" w:afterLines="50"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（2）管道结构重建标准</w:t>
      </w:r>
    </w:p>
    <w:tbl>
      <w:tblPr>
        <w:tblStyle w:val="18"/>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461"/>
      </w:tblGrid>
      <w:tr w14:paraId="7689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38" w:type="dxa"/>
            <w:noWrap w:val="0"/>
            <w:vAlign w:val="center"/>
          </w:tcPr>
          <w:p w14:paraId="4E7F3A4B">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分类</w:t>
            </w:r>
          </w:p>
        </w:tc>
        <w:tc>
          <w:tcPr>
            <w:tcW w:w="7461" w:type="dxa"/>
            <w:noWrap w:val="0"/>
            <w:vAlign w:val="center"/>
          </w:tcPr>
          <w:p w14:paraId="1BE47EA2">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说明</w:t>
            </w:r>
          </w:p>
        </w:tc>
      </w:tr>
      <w:tr w14:paraId="6757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jc w:val="center"/>
        </w:trPr>
        <w:tc>
          <w:tcPr>
            <w:tcW w:w="1838" w:type="dxa"/>
            <w:noWrap w:val="0"/>
            <w:vAlign w:val="center"/>
          </w:tcPr>
          <w:p w14:paraId="09A401F1">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动脉</w:t>
            </w:r>
          </w:p>
        </w:tc>
        <w:tc>
          <w:tcPr>
            <w:tcW w:w="7461" w:type="dxa"/>
            <w:noWrap w:val="0"/>
            <w:vAlign w:val="center"/>
          </w:tcPr>
          <w:p w14:paraId="6DD7D48A">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血管可见外轮廓，上端开始于胸主动脉末端下至腹主动脉分左右髂总动脉处，标准重建包括动脉期可辨识的腹腔干（脾动脉、胃左动脉、肝总动脉、肝固有动脉、肝左动脉、肝右动脉、胃右动脉、胃十二指肠动脉及其分支）、肠系膜上动脉、肠系膜下动脉、肾动脉，血管边界以影像所见为准</w:t>
            </w:r>
          </w:p>
        </w:tc>
      </w:tr>
      <w:tr w14:paraId="0EED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1838" w:type="dxa"/>
            <w:noWrap w:val="0"/>
            <w:vAlign w:val="center"/>
          </w:tcPr>
          <w:p w14:paraId="78E574EC">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门静脉</w:t>
            </w:r>
          </w:p>
        </w:tc>
        <w:tc>
          <w:tcPr>
            <w:tcW w:w="7461" w:type="dxa"/>
            <w:noWrap w:val="0"/>
            <w:vAlign w:val="center"/>
          </w:tcPr>
          <w:p w14:paraId="26341295">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血管可见外轮廓，门静脉重建标准包括可辨识的门静脉主干及其肝内分支（门静脉左支、门静脉右支）、肝外分支（脾静脉、肠系膜上静脉、肠系膜下静脉及其主要属支），血管边界以影像所见为准</w:t>
            </w:r>
          </w:p>
        </w:tc>
      </w:tr>
      <w:tr w14:paraId="4874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838" w:type="dxa"/>
            <w:noWrap w:val="0"/>
            <w:vAlign w:val="center"/>
          </w:tcPr>
          <w:p w14:paraId="25C8A885">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肝静脉</w:t>
            </w:r>
          </w:p>
        </w:tc>
        <w:tc>
          <w:tcPr>
            <w:tcW w:w="7461" w:type="dxa"/>
            <w:noWrap w:val="0"/>
            <w:vAlign w:val="center"/>
          </w:tcPr>
          <w:p w14:paraId="6B3E7310">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血管可见外轮廓，肝静脉主干上端重建至汇入心脏处但不得高于下腔静脉上端，下端重建至出肝脏，与下腔静脉共主干部分可出现花斑状，肝静脉重建包括可辨识的肝左、肝中、肝右、第三肝门静脉（如有）及其属支，边界以影像所见为准</w:t>
            </w:r>
          </w:p>
        </w:tc>
      </w:tr>
      <w:tr w14:paraId="5FEC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838" w:type="dxa"/>
            <w:noWrap w:val="0"/>
            <w:vAlign w:val="center"/>
          </w:tcPr>
          <w:p w14:paraId="407CFC81">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下腔静脉</w:t>
            </w:r>
          </w:p>
        </w:tc>
        <w:tc>
          <w:tcPr>
            <w:tcW w:w="7461" w:type="dxa"/>
            <w:noWrap w:val="0"/>
            <w:vAlign w:val="center"/>
          </w:tcPr>
          <w:p w14:paraId="7FCF77B9">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血管可见外轮廓，上端重建至汇入心脏处，下至肾脏结束层面，重建的下腔静脉包括下腔静脉主干及其左右肾静脉（左右肾静脉重建至入肾，下腔静脉为一级，肾静脉则重建至3级）、左侧生殖静脉（重建至肾脏结束层面），边界以影像所见为准</w:t>
            </w:r>
          </w:p>
        </w:tc>
      </w:tr>
      <w:tr w14:paraId="6409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838" w:type="dxa"/>
            <w:noWrap w:val="0"/>
            <w:vAlign w:val="center"/>
          </w:tcPr>
          <w:p w14:paraId="656E7720">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胆总管及肝总管</w:t>
            </w:r>
          </w:p>
        </w:tc>
        <w:tc>
          <w:tcPr>
            <w:tcW w:w="7461" w:type="dxa"/>
            <w:noWrap w:val="0"/>
            <w:vAlign w:val="center"/>
          </w:tcPr>
          <w:p w14:paraId="4001202C">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重建的胆总管及肝总管，上至肝门左右肝管汇合处，下至入胰腺后可见走行，重建的胆总管及肝总管范围不包括胆管以外的其他组织</w:t>
            </w:r>
          </w:p>
        </w:tc>
      </w:tr>
      <w:tr w14:paraId="14AD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838" w:type="dxa"/>
            <w:noWrap w:val="0"/>
            <w:vAlign w:val="center"/>
          </w:tcPr>
          <w:p w14:paraId="146D5181">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肝内胆管</w:t>
            </w:r>
          </w:p>
        </w:tc>
        <w:tc>
          <w:tcPr>
            <w:tcW w:w="7461" w:type="dxa"/>
            <w:noWrap w:val="0"/>
            <w:vAlign w:val="center"/>
          </w:tcPr>
          <w:p w14:paraId="2F3D7CC9">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重建的肝内胆管边界以影像学实际所见为准，未扩张或扩张直径≤2mm的胆管不重建</w:t>
            </w:r>
          </w:p>
        </w:tc>
      </w:tr>
      <w:tr w14:paraId="2D05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838" w:type="dxa"/>
            <w:noWrap w:val="0"/>
            <w:vAlign w:val="center"/>
          </w:tcPr>
          <w:p w14:paraId="7D782B78">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胰管</w:t>
            </w:r>
          </w:p>
        </w:tc>
        <w:tc>
          <w:tcPr>
            <w:tcW w:w="7461" w:type="dxa"/>
            <w:noWrap w:val="0"/>
            <w:vAlign w:val="center"/>
          </w:tcPr>
          <w:p w14:paraId="6D1C6BFE">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重建的胰管边界以影像学实际所见为准，未扩张或扩张直径≤2mm的胰管不重建</w:t>
            </w:r>
          </w:p>
        </w:tc>
      </w:tr>
    </w:tbl>
    <w:p w14:paraId="2E3C97FA">
      <w:pPr>
        <w:spacing w:before="156" w:beforeLines="50" w:after="156" w:afterLines="50"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（3）病变重建标准</w:t>
      </w:r>
    </w:p>
    <w:tbl>
      <w:tblPr>
        <w:tblStyle w:val="18"/>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7193"/>
      </w:tblGrid>
      <w:tr w14:paraId="452D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086" w:type="dxa"/>
            <w:noWrap w:val="0"/>
            <w:vAlign w:val="center"/>
          </w:tcPr>
          <w:p w14:paraId="090022E8">
            <w:pPr>
              <w:pStyle w:val="41"/>
              <w:spacing w:line="360" w:lineRule="auto"/>
              <w:jc w:val="center"/>
              <w:rPr>
                <w:rFonts w:hint="eastAsia" w:ascii="仿宋" w:hAnsi="仿宋" w:eastAsia="仿宋" w:cs="仿宋"/>
                <w:b/>
                <w:bCs/>
                <w:color w:val="auto"/>
                <w:sz w:val="24"/>
                <w:highlight w:val="none"/>
              </w:rPr>
            </w:pPr>
            <w:bookmarkStart w:id="5" w:name="_Toc19159"/>
            <w:bookmarkStart w:id="6" w:name="_Toc4301"/>
            <w:bookmarkStart w:id="7" w:name="_Toc30722"/>
            <w:bookmarkStart w:id="8" w:name="_Toc9927"/>
            <w:bookmarkStart w:id="9" w:name="_Toc13787"/>
            <w:bookmarkStart w:id="10" w:name="_Toc15864"/>
            <w:r>
              <w:rPr>
                <w:rFonts w:hint="eastAsia" w:ascii="仿宋" w:hAnsi="仿宋" w:eastAsia="仿宋" w:cs="仿宋"/>
                <w:b/>
                <w:bCs/>
                <w:color w:val="auto"/>
                <w:sz w:val="24"/>
                <w:highlight w:val="none"/>
              </w:rPr>
              <w:t>分类</w:t>
            </w:r>
          </w:p>
        </w:tc>
        <w:tc>
          <w:tcPr>
            <w:tcW w:w="7193" w:type="dxa"/>
            <w:noWrap w:val="0"/>
            <w:vAlign w:val="center"/>
          </w:tcPr>
          <w:p w14:paraId="012E888A">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说明</w:t>
            </w:r>
          </w:p>
        </w:tc>
      </w:tr>
      <w:tr w14:paraId="7FCB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086" w:type="dxa"/>
            <w:noWrap w:val="0"/>
            <w:vAlign w:val="center"/>
          </w:tcPr>
          <w:p w14:paraId="1DEA94FF">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占位</w:t>
            </w:r>
          </w:p>
        </w:tc>
        <w:tc>
          <w:tcPr>
            <w:tcW w:w="7193" w:type="dxa"/>
            <w:noWrap w:val="0"/>
            <w:vAlign w:val="center"/>
          </w:tcPr>
          <w:p w14:paraId="650DAC6C">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w:t>
            </w:r>
          </w:p>
        </w:tc>
      </w:tr>
      <w:tr w14:paraId="5A8A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086" w:type="dxa"/>
            <w:noWrap w:val="0"/>
            <w:vAlign w:val="center"/>
          </w:tcPr>
          <w:p w14:paraId="2544BC94">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癌栓</w:t>
            </w:r>
          </w:p>
        </w:tc>
        <w:tc>
          <w:tcPr>
            <w:tcW w:w="7193" w:type="dxa"/>
            <w:noWrap w:val="0"/>
            <w:vAlign w:val="center"/>
          </w:tcPr>
          <w:p w14:paraId="1EAF23F5">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血管包裹癌栓</w:t>
            </w:r>
          </w:p>
        </w:tc>
      </w:tr>
      <w:tr w14:paraId="2174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086" w:type="dxa"/>
            <w:noWrap w:val="0"/>
            <w:vAlign w:val="center"/>
          </w:tcPr>
          <w:p w14:paraId="1DDB5C12">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血栓</w:t>
            </w:r>
          </w:p>
        </w:tc>
        <w:tc>
          <w:tcPr>
            <w:tcW w:w="7193" w:type="dxa"/>
            <w:noWrap w:val="0"/>
            <w:vAlign w:val="center"/>
          </w:tcPr>
          <w:p w14:paraId="517610F4">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血管包裹血栓</w:t>
            </w:r>
          </w:p>
        </w:tc>
      </w:tr>
      <w:tr w14:paraId="2ECF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086" w:type="dxa"/>
            <w:noWrap w:val="0"/>
            <w:vAlign w:val="center"/>
          </w:tcPr>
          <w:p w14:paraId="51829696">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结石</w:t>
            </w:r>
          </w:p>
        </w:tc>
        <w:tc>
          <w:tcPr>
            <w:tcW w:w="7193" w:type="dxa"/>
            <w:noWrap w:val="0"/>
            <w:vAlign w:val="center"/>
          </w:tcPr>
          <w:p w14:paraId="0CC5B727">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重建结石本身</w:t>
            </w:r>
          </w:p>
        </w:tc>
      </w:tr>
      <w:tr w14:paraId="5B0C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086" w:type="dxa"/>
            <w:noWrap w:val="0"/>
            <w:vAlign w:val="center"/>
          </w:tcPr>
          <w:p w14:paraId="4F7E90C3">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钙化</w:t>
            </w:r>
          </w:p>
        </w:tc>
        <w:tc>
          <w:tcPr>
            <w:tcW w:w="7193" w:type="dxa"/>
            <w:noWrap w:val="0"/>
            <w:vAlign w:val="center"/>
          </w:tcPr>
          <w:p w14:paraId="7B82ED63">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钙化本身</w:t>
            </w:r>
          </w:p>
        </w:tc>
      </w:tr>
      <w:tr w14:paraId="2ACC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086" w:type="dxa"/>
            <w:noWrap w:val="0"/>
            <w:vAlign w:val="center"/>
          </w:tcPr>
          <w:p w14:paraId="071038E2">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异常密度影</w:t>
            </w:r>
          </w:p>
          <w:p w14:paraId="29F59E55">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（未定性）</w:t>
            </w:r>
          </w:p>
        </w:tc>
        <w:tc>
          <w:tcPr>
            <w:tcW w:w="7193" w:type="dxa"/>
            <w:noWrap w:val="0"/>
            <w:vAlign w:val="center"/>
          </w:tcPr>
          <w:p w14:paraId="200E8766">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按影像所见边界重建，命名为异常密度影</w:t>
            </w:r>
          </w:p>
        </w:tc>
      </w:tr>
      <w:tr w14:paraId="7E88E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086" w:type="dxa"/>
            <w:noWrap w:val="0"/>
            <w:vAlign w:val="center"/>
          </w:tcPr>
          <w:p w14:paraId="7E0D39CE">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异常信号灶</w:t>
            </w:r>
          </w:p>
          <w:p w14:paraId="78B3220C">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（未定性）</w:t>
            </w:r>
          </w:p>
        </w:tc>
        <w:tc>
          <w:tcPr>
            <w:tcW w:w="7193" w:type="dxa"/>
            <w:noWrap w:val="0"/>
            <w:vAlign w:val="center"/>
          </w:tcPr>
          <w:p w14:paraId="5DAAB4C7">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按影像所见边界重建，命名为异常信号灶</w:t>
            </w:r>
          </w:p>
        </w:tc>
      </w:tr>
      <w:bookmarkEnd w:id="5"/>
      <w:bookmarkEnd w:id="6"/>
      <w:bookmarkEnd w:id="7"/>
      <w:bookmarkEnd w:id="8"/>
      <w:bookmarkEnd w:id="9"/>
      <w:bookmarkEnd w:id="10"/>
    </w:tbl>
    <w:p w14:paraId="25F600CA">
      <w:pPr>
        <w:pStyle w:val="41"/>
        <w:spacing w:before="156" w:beforeLines="50" w:after="156" w:afterLines="50"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（4）半肝划分和肝分段标准</w:t>
      </w:r>
    </w:p>
    <w:tbl>
      <w:tblPr>
        <w:tblStyle w:val="18"/>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7543"/>
      </w:tblGrid>
      <w:tr w14:paraId="6C66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851" w:type="dxa"/>
            <w:noWrap w:val="0"/>
            <w:vAlign w:val="center"/>
          </w:tcPr>
          <w:p w14:paraId="7D611758">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分类</w:t>
            </w:r>
          </w:p>
        </w:tc>
        <w:tc>
          <w:tcPr>
            <w:tcW w:w="7543" w:type="dxa"/>
            <w:noWrap w:val="0"/>
            <w:vAlign w:val="center"/>
          </w:tcPr>
          <w:p w14:paraId="0285361D">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说明</w:t>
            </w:r>
          </w:p>
        </w:tc>
      </w:tr>
      <w:tr w14:paraId="29DA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51" w:type="dxa"/>
            <w:noWrap w:val="0"/>
            <w:vAlign w:val="center"/>
          </w:tcPr>
          <w:p w14:paraId="380E39DF">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半肝划分</w:t>
            </w:r>
          </w:p>
        </w:tc>
        <w:tc>
          <w:tcPr>
            <w:tcW w:w="7543" w:type="dxa"/>
            <w:noWrap w:val="0"/>
            <w:vAlign w:val="center"/>
          </w:tcPr>
          <w:p w14:paraId="6D31E505">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沿肝中静脉、门静脉左右支分叉、胆囊窝等参考把肝脏划分为左右两部分，不考虑尾状叶</w:t>
            </w:r>
          </w:p>
        </w:tc>
      </w:tr>
      <w:tr w14:paraId="3653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51" w:type="dxa"/>
            <w:noWrap w:val="0"/>
            <w:vAlign w:val="center"/>
          </w:tcPr>
          <w:p w14:paraId="78D5777C">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肝分段</w:t>
            </w:r>
          </w:p>
        </w:tc>
        <w:tc>
          <w:tcPr>
            <w:tcW w:w="7543" w:type="dxa"/>
            <w:noWrap w:val="0"/>
            <w:vAlign w:val="center"/>
          </w:tcPr>
          <w:p w14:paraId="25360B84">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根据Couinaud 肝分段法，将肝脏分为 8 个独立的段，每段有自己的血供和回流血管以及胆管系统</w:t>
            </w:r>
          </w:p>
        </w:tc>
      </w:tr>
    </w:tbl>
    <w:p w14:paraId="032BEE8B">
      <w:pPr>
        <w:pStyle w:val="41"/>
        <w:spacing w:line="360" w:lineRule="auto"/>
        <w:ind w:firstLine="480" w:firstLineChars="200"/>
        <w:rPr>
          <w:rFonts w:hint="eastAsia" w:ascii="仿宋" w:hAnsi="仿宋" w:eastAsia="仿宋" w:cs="仿宋"/>
          <w:color w:val="auto"/>
          <w:sz w:val="24"/>
          <w:highlight w:val="none"/>
        </w:rPr>
      </w:pPr>
      <w:bookmarkStart w:id="11" w:name="_Toc69030625"/>
      <w:r>
        <w:rPr>
          <w:rFonts w:hint="eastAsia" w:ascii="仿宋" w:hAnsi="仿宋" w:eastAsia="仿宋" w:cs="仿宋"/>
          <w:color w:val="auto"/>
          <w:sz w:val="24"/>
          <w:highlight w:val="none"/>
        </w:rPr>
        <w:t>1.2 三维重建说明标准</w:t>
      </w:r>
      <w:bookmarkEnd w:id="11"/>
      <w:r>
        <w:rPr>
          <w:rFonts w:hint="eastAsia" w:ascii="仿宋" w:hAnsi="仿宋" w:eastAsia="仿宋" w:cs="仿宋"/>
          <w:color w:val="auto"/>
          <w:sz w:val="24"/>
          <w:highlight w:val="none"/>
        </w:rPr>
        <w:t>，提供PDF格式的三维重建说明，内容包括</w:t>
      </w:r>
    </w:p>
    <w:p w14:paraId="7B0110D5">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（1）患者信息（床位、住院号、影像号）、医院信息（科室）、重建单号等；</w:t>
      </w:r>
    </w:p>
    <w:p w14:paraId="72F5395B">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（2）3D重建模型体积计算；</w:t>
      </w:r>
    </w:p>
    <w:p w14:paraId="062CD3CB">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（3）3D重建模型整体展示、病变与器官相关性展示、病变与动脉相关性展示、病变与门静脉相关性展示、病变与静脉相关性展示、肝分段展示（或半肝划分展示）、淋巴结分布展示等。</w:t>
      </w:r>
    </w:p>
    <w:p w14:paraId="76B4204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2.胸外科</w:t>
      </w:r>
      <w:bookmarkStart w:id="12" w:name="_Toc69030627"/>
    </w:p>
    <w:p w14:paraId="17B1602D">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3D模型标准</w:t>
      </w:r>
      <w:bookmarkEnd w:id="12"/>
    </w:p>
    <w:p w14:paraId="05A4255E">
      <w:pPr>
        <w:pStyle w:val="41"/>
        <w:spacing w:after="156" w:afterLines="50"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（1）器官重建标准</w:t>
      </w:r>
    </w:p>
    <w:tbl>
      <w:tblPr>
        <w:tblStyle w:val="1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7303"/>
      </w:tblGrid>
      <w:tr w14:paraId="6674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176" w:type="dxa"/>
            <w:noWrap w:val="0"/>
            <w:vAlign w:val="center"/>
          </w:tcPr>
          <w:p w14:paraId="73C0EA6B">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分类</w:t>
            </w:r>
          </w:p>
        </w:tc>
        <w:tc>
          <w:tcPr>
            <w:tcW w:w="7303" w:type="dxa"/>
            <w:noWrap w:val="0"/>
            <w:vAlign w:val="center"/>
          </w:tcPr>
          <w:p w14:paraId="0329FD2D">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说明</w:t>
            </w:r>
          </w:p>
        </w:tc>
      </w:tr>
      <w:tr w14:paraId="172C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176" w:type="dxa"/>
            <w:noWrap w:val="0"/>
            <w:vAlign w:val="center"/>
          </w:tcPr>
          <w:p w14:paraId="4EA43DED">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肺</w:t>
            </w:r>
          </w:p>
        </w:tc>
        <w:tc>
          <w:tcPr>
            <w:tcW w:w="7303" w:type="dxa"/>
            <w:noWrap w:val="0"/>
            <w:vAlign w:val="center"/>
          </w:tcPr>
          <w:p w14:paraId="7AE30CFE">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双肺，包括肺内血管、支气管和占位</w:t>
            </w:r>
          </w:p>
        </w:tc>
      </w:tr>
      <w:tr w14:paraId="77CB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176" w:type="dxa"/>
            <w:noWrap w:val="0"/>
            <w:vAlign w:val="center"/>
          </w:tcPr>
          <w:p w14:paraId="0060F8CA">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单肺</w:t>
            </w:r>
          </w:p>
        </w:tc>
        <w:tc>
          <w:tcPr>
            <w:tcW w:w="7303" w:type="dxa"/>
            <w:noWrap w:val="0"/>
            <w:vAlign w:val="center"/>
          </w:tcPr>
          <w:p w14:paraId="175529C0">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单肺（左肺或右肺），包括单肺内血管、支气管和占位</w:t>
            </w:r>
          </w:p>
        </w:tc>
      </w:tr>
      <w:tr w14:paraId="7636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176" w:type="dxa"/>
            <w:noWrap w:val="0"/>
            <w:vAlign w:val="center"/>
          </w:tcPr>
          <w:p w14:paraId="1F72FB35">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皮肤</w:t>
            </w:r>
          </w:p>
        </w:tc>
        <w:tc>
          <w:tcPr>
            <w:tcW w:w="7303" w:type="dxa"/>
            <w:noWrap w:val="0"/>
            <w:vAlign w:val="center"/>
          </w:tcPr>
          <w:p w14:paraId="012817E2">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皮肤外轮廓，重建皮肤本身</w:t>
            </w:r>
          </w:p>
        </w:tc>
      </w:tr>
      <w:tr w14:paraId="7359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176" w:type="dxa"/>
            <w:noWrap w:val="0"/>
            <w:vAlign w:val="center"/>
          </w:tcPr>
          <w:p w14:paraId="3235E367">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骨骼</w:t>
            </w:r>
          </w:p>
        </w:tc>
        <w:tc>
          <w:tcPr>
            <w:tcW w:w="7303" w:type="dxa"/>
            <w:noWrap w:val="0"/>
            <w:vAlign w:val="center"/>
          </w:tcPr>
          <w:p w14:paraId="689E3D3C">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扫描范围内，重建椎骨及肋骨，肋软骨及胸骨不重建</w:t>
            </w:r>
          </w:p>
        </w:tc>
      </w:tr>
      <w:tr w14:paraId="40B2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176" w:type="dxa"/>
            <w:noWrap w:val="0"/>
            <w:vAlign w:val="center"/>
          </w:tcPr>
          <w:p w14:paraId="5F99590F">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心脏</w:t>
            </w:r>
          </w:p>
        </w:tc>
        <w:tc>
          <w:tcPr>
            <w:tcW w:w="7303" w:type="dxa"/>
            <w:noWrap w:val="0"/>
            <w:vAlign w:val="center"/>
          </w:tcPr>
          <w:p w14:paraId="5180A710">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心脏本身，按影像所见边界重建</w:t>
            </w:r>
          </w:p>
        </w:tc>
      </w:tr>
      <w:tr w14:paraId="7089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176" w:type="dxa"/>
            <w:noWrap w:val="0"/>
            <w:vAlign w:val="center"/>
          </w:tcPr>
          <w:p w14:paraId="2F3C5844">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淋巴结</w:t>
            </w:r>
          </w:p>
        </w:tc>
        <w:tc>
          <w:tcPr>
            <w:tcW w:w="7303" w:type="dxa"/>
            <w:noWrap w:val="0"/>
            <w:vAlign w:val="center"/>
          </w:tcPr>
          <w:p w14:paraId="377802B5">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以重建纵隔淋巴结为主，短径≥5mm的淋巴结，依据影像所见边界重建</w:t>
            </w:r>
          </w:p>
        </w:tc>
      </w:tr>
      <w:tr w14:paraId="6D05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176" w:type="dxa"/>
            <w:noWrap w:val="0"/>
            <w:vAlign w:val="center"/>
          </w:tcPr>
          <w:p w14:paraId="40F18E77">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病变周边器官</w:t>
            </w:r>
          </w:p>
        </w:tc>
        <w:tc>
          <w:tcPr>
            <w:tcW w:w="7303" w:type="dxa"/>
            <w:noWrap w:val="0"/>
            <w:vAlign w:val="center"/>
          </w:tcPr>
          <w:p w14:paraId="25F13B9A">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扫描范围内，与病变关联较近的器官</w:t>
            </w:r>
          </w:p>
        </w:tc>
      </w:tr>
      <w:tr w14:paraId="13EB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176" w:type="dxa"/>
            <w:noWrap w:val="0"/>
            <w:vAlign w:val="center"/>
          </w:tcPr>
          <w:p w14:paraId="346297EB">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病变周边肌肉</w:t>
            </w:r>
          </w:p>
        </w:tc>
        <w:tc>
          <w:tcPr>
            <w:tcW w:w="7303" w:type="dxa"/>
            <w:noWrap w:val="0"/>
            <w:vAlign w:val="center"/>
          </w:tcPr>
          <w:p w14:paraId="262A408F">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扫描范围内，与病变紧贴、侵犯、包裹给予重建</w:t>
            </w:r>
          </w:p>
        </w:tc>
      </w:tr>
    </w:tbl>
    <w:p w14:paraId="0862D9D7">
      <w:pPr>
        <w:pStyle w:val="41"/>
        <w:spacing w:before="156" w:beforeLines="50" w:after="156" w:afterLines="50"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（2）管道结构重建标准</w:t>
      </w:r>
    </w:p>
    <w:tbl>
      <w:tblPr>
        <w:tblStyle w:val="18"/>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2"/>
        <w:gridCol w:w="7357"/>
      </w:tblGrid>
      <w:tr w14:paraId="092C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102" w:type="dxa"/>
            <w:noWrap w:val="0"/>
            <w:vAlign w:val="center"/>
          </w:tcPr>
          <w:p w14:paraId="5E6AE306">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分类</w:t>
            </w:r>
          </w:p>
        </w:tc>
        <w:tc>
          <w:tcPr>
            <w:tcW w:w="7357" w:type="dxa"/>
            <w:noWrap w:val="0"/>
            <w:vAlign w:val="center"/>
          </w:tcPr>
          <w:p w14:paraId="5B088FCD">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说明</w:t>
            </w:r>
          </w:p>
        </w:tc>
      </w:tr>
      <w:tr w14:paraId="520A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102" w:type="dxa"/>
            <w:noWrap w:val="0"/>
            <w:vAlign w:val="center"/>
          </w:tcPr>
          <w:p w14:paraId="0C509082">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肺动脉</w:t>
            </w:r>
          </w:p>
        </w:tc>
        <w:tc>
          <w:tcPr>
            <w:tcW w:w="7357" w:type="dxa"/>
            <w:noWrap w:val="0"/>
            <w:vAlign w:val="center"/>
          </w:tcPr>
          <w:p w14:paraId="1A120501">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血管可见内轮廓，病变位于肺内，肺动脉重建至亚段；病变位于纵隔，肺动脉三级重建（肺动脉主干为一级）；边界以影像学实际所见为准，不得出现成片、成锯齿、空洞状</w:t>
            </w:r>
          </w:p>
        </w:tc>
      </w:tr>
      <w:tr w14:paraId="3DE9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102" w:type="dxa"/>
            <w:noWrap w:val="0"/>
            <w:vAlign w:val="center"/>
          </w:tcPr>
          <w:p w14:paraId="72893CF8">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肺静脉</w:t>
            </w:r>
          </w:p>
        </w:tc>
        <w:tc>
          <w:tcPr>
            <w:tcW w:w="7357" w:type="dxa"/>
            <w:noWrap w:val="0"/>
            <w:vAlign w:val="center"/>
          </w:tcPr>
          <w:p w14:paraId="2473D352">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血管可见内轮廓，病变位于肺内，肺静脉重建至亚段；病变位于纵隔，肺静脉三级重建（肺静脉主干为一级）；边界以影像学实际所见为准，不得出现成片、成锯齿、空洞状</w:t>
            </w:r>
          </w:p>
        </w:tc>
      </w:tr>
      <w:tr w14:paraId="11DA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102" w:type="dxa"/>
            <w:noWrap w:val="0"/>
            <w:vAlign w:val="center"/>
          </w:tcPr>
          <w:p w14:paraId="4F2B8BEF">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支气管</w:t>
            </w:r>
          </w:p>
        </w:tc>
        <w:tc>
          <w:tcPr>
            <w:tcW w:w="7357" w:type="dxa"/>
            <w:noWrap w:val="0"/>
            <w:vAlign w:val="center"/>
          </w:tcPr>
          <w:p w14:paraId="0C2264EE">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支气管内轮廓，肺内病变，支气管重建至亚段；肺内无病变，且纵膈有病变，支气管重建至叶或段支气管，气管不得出现成片、成锯齿、空洞状</w:t>
            </w:r>
          </w:p>
        </w:tc>
      </w:tr>
      <w:tr w14:paraId="7CD5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2102" w:type="dxa"/>
            <w:noWrap w:val="0"/>
            <w:vAlign w:val="center"/>
          </w:tcPr>
          <w:p w14:paraId="06041A77">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上腔静脉</w:t>
            </w:r>
          </w:p>
        </w:tc>
        <w:tc>
          <w:tcPr>
            <w:tcW w:w="7357" w:type="dxa"/>
            <w:noWrap w:val="0"/>
            <w:vAlign w:val="center"/>
          </w:tcPr>
          <w:p w14:paraId="42C5F281">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血管可见内轮廓，边界以影像学实际所见为准，不得出现成片、成锯齿、空洞状。病变位于肺内，则包括上腔静脉主干、无名静脉、奇静脉；病变位于纵隔，则包括上腔静脉主干、无名静脉、奇静脉及其纵隔内占位周边血管及占位血管</w:t>
            </w:r>
          </w:p>
        </w:tc>
      </w:tr>
      <w:tr w14:paraId="74F0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02" w:type="dxa"/>
            <w:noWrap w:val="0"/>
            <w:vAlign w:val="center"/>
          </w:tcPr>
          <w:p w14:paraId="14F3DBC0">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胸主动脉</w:t>
            </w:r>
          </w:p>
        </w:tc>
        <w:tc>
          <w:tcPr>
            <w:tcW w:w="7357" w:type="dxa"/>
            <w:noWrap w:val="0"/>
            <w:vAlign w:val="center"/>
          </w:tcPr>
          <w:p w14:paraId="1BF051BA">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血管可见内轮廓，边界以影像学实际所见为准，不得出现成片、成锯齿、空洞状。病变位于肺内，则应包括升主动脉、主动脉弓、降主动脉，头臂干动脉，左颈总动脉，左锁骨下动脉；病变位于纵隔，则应包括升主动脉、主动脉弓、降主动脉，头臂干动脉，左颈总动脉，左锁骨下动脉及其纵隔内占位周边血管及占位血管</w:t>
            </w:r>
          </w:p>
        </w:tc>
      </w:tr>
      <w:tr w14:paraId="4053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102" w:type="dxa"/>
            <w:noWrap w:val="0"/>
            <w:vAlign w:val="center"/>
          </w:tcPr>
          <w:p w14:paraId="3B364AB2">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食管</w:t>
            </w:r>
          </w:p>
        </w:tc>
        <w:tc>
          <w:tcPr>
            <w:tcW w:w="7357" w:type="dxa"/>
            <w:noWrap w:val="0"/>
            <w:vAlign w:val="center"/>
          </w:tcPr>
          <w:p w14:paraId="20C9233F">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扫描范围内，重建食管本身，按影像所见边界重建</w:t>
            </w:r>
          </w:p>
        </w:tc>
      </w:tr>
    </w:tbl>
    <w:p w14:paraId="25FF509A">
      <w:pPr>
        <w:pStyle w:val="41"/>
        <w:spacing w:before="156" w:beforeLines="50" w:after="156" w:afterLines="50"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（3）病变重建标准</w:t>
      </w:r>
    </w:p>
    <w:tbl>
      <w:tblPr>
        <w:tblStyle w:val="18"/>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8"/>
        <w:gridCol w:w="7151"/>
      </w:tblGrid>
      <w:tr w14:paraId="495D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308" w:type="dxa"/>
            <w:noWrap w:val="0"/>
            <w:vAlign w:val="center"/>
          </w:tcPr>
          <w:p w14:paraId="556CF316">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分类</w:t>
            </w:r>
          </w:p>
        </w:tc>
        <w:tc>
          <w:tcPr>
            <w:tcW w:w="7151" w:type="dxa"/>
            <w:noWrap w:val="0"/>
            <w:vAlign w:val="center"/>
          </w:tcPr>
          <w:p w14:paraId="679BB71C">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14:paraId="52BD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308" w:type="dxa"/>
            <w:noWrap w:val="0"/>
            <w:vAlign w:val="center"/>
          </w:tcPr>
          <w:p w14:paraId="2C1FA581">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占位</w:t>
            </w:r>
          </w:p>
        </w:tc>
        <w:tc>
          <w:tcPr>
            <w:tcW w:w="7151" w:type="dxa"/>
            <w:noWrap w:val="0"/>
            <w:vAlign w:val="center"/>
          </w:tcPr>
          <w:p w14:paraId="5D85CF5D">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占位本身，按影像所见边界重建</w:t>
            </w:r>
          </w:p>
        </w:tc>
      </w:tr>
      <w:tr w14:paraId="41A0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308" w:type="dxa"/>
            <w:noWrap w:val="0"/>
            <w:vAlign w:val="center"/>
          </w:tcPr>
          <w:p w14:paraId="42CBEEF7">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结节</w:t>
            </w:r>
          </w:p>
        </w:tc>
        <w:tc>
          <w:tcPr>
            <w:tcW w:w="7151" w:type="dxa"/>
            <w:noWrap w:val="0"/>
            <w:vAlign w:val="center"/>
          </w:tcPr>
          <w:p w14:paraId="745CC263">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结节本身，按影像所见边界重建</w:t>
            </w:r>
          </w:p>
        </w:tc>
      </w:tr>
      <w:tr w14:paraId="48B8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308" w:type="dxa"/>
            <w:noWrap w:val="0"/>
            <w:vAlign w:val="center"/>
          </w:tcPr>
          <w:p w14:paraId="7A9A4061">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空洞</w:t>
            </w:r>
          </w:p>
        </w:tc>
        <w:tc>
          <w:tcPr>
            <w:tcW w:w="7151" w:type="dxa"/>
            <w:noWrap w:val="0"/>
            <w:vAlign w:val="center"/>
          </w:tcPr>
          <w:p w14:paraId="5B7E3855">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空洞本身，按影像所见边界重建</w:t>
            </w:r>
          </w:p>
        </w:tc>
      </w:tr>
      <w:tr w14:paraId="544E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308" w:type="dxa"/>
            <w:noWrap w:val="0"/>
            <w:vAlign w:val="center"/>
          </w:tcPr>
          <w:p w14:paraId="3FC5CCF0">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肺不张</w:t>
            </w:r>
          </w:p>
        </w:tc>
        <w:tc>
          <w:tcPr>
            <w:tcW w:w="7151" w:type="dxa"/>
            <w:noWrap w:val="0"/>
            <w:vAlign w:val="center"/>
          </w:tcPr>
          <w:p w14:paraId="43370DA9">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肺不张本身，按影像所见边界重建</w:t>
            </w:r>
          </w:p>
        </w:tc>
      </w:tr>
    </w:tbl>
    <w:p w14:paraId="6B87E0D6">
      <w:pPr>
        <w:pStyle w:val="41"/>
        <w:spacing w:before="156" w:beforeLines="50" w:after="156" w:afterLines="50"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（4）肺分叶和肺分段标准</w:t>
      </w:r>
    </w:p>
    <w:tbl>
      <w:tblPr>
        <w:tblStyle w:val="18"/>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7332"/>
      </w:tblGrid>
      <w:tr w14:paraId="1CC7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jc w:val="center"/>
        </w:trPr>
        <w:tc>
          <w:tcPr>
            <w:tcW w:w="2207" w:type="dxa"/>
            <w:noWrap w:val="0"/>
            <w:vAlign w:val="center"/>
          </w:tcPr>
          <w:p w14:paraId="0BCF25CC">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分类</w:t>
            </w:r>
          </w:p>
        </w:tc>
        <w:tc>
          <w:tcPr>
            <w:tcW w:w="7332" w:type="dxa"/>
            <w:noWrap w:val="0"/>
            <w:vAlign w:val="center"/>
          </w:tcPr>
          <w:p w14:paraId="298A7AF0">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说明</w:t>
            </w:r>
          </w:p>
        </w:tc>
      </w:tr>
      <w:tr w14:paraId="2581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207" w:type="dxa"/>
            <w:noWrap w:val="0"/>
            <w:vAlign w:val="center"/>
          </w:tcPr>
          <w:p w14:paraId="04415373">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肺分叶</w:t>
            </w:r>
          </w:p>
        </w:tc>
        <w:tc>
          <w:tcPr>
            <w:tcW w:w="7332" w:type="dxa"/>
            <w:noWrap w:val="0"/>
            <w:vAlign w:val="center"/>
          </w:tcPr>
          <w:p w14:paraId="2A43FCE4">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肺叶边界轮廓需沿叶间裂划分</w:t>
            </w:r>
          </w:p>
        </w:tc>
      </w:tr>
      <w:tr w14:paraId="7703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207" w:type="dxa"/>
            <w:noWrap w:val="0"/>
            <w:vAlign w:val="center"/>
          </w:tcPr>
          <w:p w14:paraId="7B420967">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肺分段</w:t>
            </w:r>
          </w:p>
        </w:tc>
        <w:tc>
          <w:tcPr>
            <w:tcW w:w="7332" w:type="dxa"/>
            <w:noWrap w:val="0"/>
            <w:vAlign w:val="center"/>
          </w:tcPr>
          <w:p w14:paraId="53EDF4E8">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肺分段依据支气管、肺动脉、肺静脉的分支与走行将右肺分为10个段，左肺分为8个段。根据需要可提供靶区分段和肺分18段</w:t>
            </w:r>
          </w:p>
        </w:tc>
      </w:tr>
    </w:tbl>
    <w:p w14:paraId="3F6D1037">
      <w:pPr>
        <w:pStyle w:val="41"/>
        <w:spacing w:before="156" w:beforeLines="50" w:line="360" w:lineRule="auto"/>
        <w:ind w:firstLine="480" w:firstLineChars="200"/>
        <w:rPr>
          <w:rFonts w:hint="eastAsia" w:ascii="仿宋" w:hAnsi="仿宋" w:eastAsia="仿宋" w:cs="仿宋"/>
          <w:color w:val="auto"/>
          <w:sz w:val="24"/>
          <w:highlight w:val="none"/>
        </w:rPr>
      </w:pPr>
      <w:bookmarkStart w:id="13" w:name="_Toc69030628"/>
      <w:r>
        <w:rPr>
          <w:rFonts w:hint="eastAsia" w:ascii="仿宋" w:hAnsi="仿宋" w:eastAsia="仿宋" w:cs="仿宋"/>
          <w:color w:val="auto"/>
          <w:sz w:val="24"/>
          <w:highlight w:val="none"/>
        </w:rPr>
        <w:t>2.2 三维重建说明标准</w:t>
      </w:r>
      <w:bookmarkEnd w:id="13"/>
      <w:r>
        <w:rPr>
          <w:rFonts w:hint="eastAsia" w:ascii="仿宋" w:hAnsi="仿宋" w:eastAsia="仿宋" w:cs="仿宋"/>
          <w:color w:val="auto"/>
          <w:sz w:val="24"/>
          <w:highlight w:val="none"/>
        </w:rPr>
        <w:t>，提供PDF格式的三维重建说明，内容包括</w:t>
      </w:r>
    </w:p>
    <w:p w14:paraId="08F94DD6">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（1）患者信息（床位、住院号、影像号）、医院信息（科室）、重建单号等；</w:t>
      </w:r>
    </w:p>
    <w:p w14:paraId="5632349E">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（2）3D重建模型体积计算；</w:t>
      </w:r>
    </w:p>
    <w:p w14:paraId="6F818BC9">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（3）3D重建模型整体展示、病变与器官相关性展示、病变与肺动脉相关性展示、病变与肺静脉相关性展示、病变与支气管相关性展示、肺分段展示（或靶区分段展示）、淋巴结分布展示等。</w:t>
      </w:r>
    </w:p>
    <w:p w14:paraId="48422DC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3.神经外科</w:t>
      </w:r>
    </w:p>
    <w:p w14:paraId="4B0F6B02">
      <w:pPr>
        <w:pStyle w:val="41"/>
        <w:spacing w:line="360" w:lineRule="auto"/>
        <w:ind w:firstLine="480" w:firstLineChars="200"/>
        <w:rPr>
          <w:rFonts w:hint="eastAsia" w:ascii="仿宋" w:hAnsi="仿宋" w:eastAsia="仿宋" w:cs="仿宋"/>
          <w:color w:val="auto"/>
          <w:sz w:val="24"/>
          <w:highlight w:val="none"/>
        </w:rPr>
      </w:pPr>
      <w:bookmarkStart w:id="14" w:name="_Toc69030633"/>
      <w:r>
        <w:rPr>
          <w:rFonts w:hint="eastAsia" w:ascii="仿宋" w:hAnsi="仿宋" w:eastAsia="仿宋" w:cs="仿宋"/>
          <w:color w:val="auto"/>
          <w:sz w:val="24"/>
          <w:highlight w:val="none"/>
        </w:rPr>
        <w:t>3.1 3D模型标准</w:t>
      </w:r>
      <w:bookmarkEnd w:id="14"/>
    </w:p>
    <w:p w14:paraId="157F682E">
      <w:pPr>
        <w:pStyle w:val="41"/>
        <w:spacing w:after="156" w:afterLines="50"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（1）器官重建标准</w:t>
      </w:r>
    </w:p>
    <w:tbl>
      <w:tblPr>
        <w:tblStyle w:val="18"/>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7048"/>
      </w:tblGrid>
      <w:tr w14:paraId="7078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231" w:type="dxa"/>
            <w:noWrap w:val="0"/>
            <w:vAlign w:val="center"/>
          </w:tcPr>
          <w:p w14:paraId="4DECB838">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分类</w:t>
            </w:r>
          </w:p>
        </w:tc>
        <w:tc>
          <w:tcPr>
            <w:tcW w:w="7048" w:type="dxa"/>
            <w:noWrap w:val="0"/>
            <w:vAlign w:val="center"/>
          </w:tcPr>
          <w:p w14:paraId="2DE22A54">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说明</w:t>
            </w:r>
          </w:p>
        </w:tc>
      </w:tr>
      <w:tr w14:paraId="0A81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231" w:type="dxa"/>
            <w:noWrap w:val="0"/>
            <w:vAlign w:val="center"/>
          </w:tcPr>
          <w:p w14:paraId="2E881803">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皮肤</w:t>
            </w:r>
          </w:p>
        </w:tc>
        <w:tc>
          <w:tcPr>
            <w:tcW w:w="7048" w:type="dxa"/>
            <w:noWrap w:val="0"/>
            <w:vAlign w:val="top"/>
          </w:tcPr>
          <w:p w14:paraId="331389B8">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CT图像，皮肤外轮廓，重建皮肤本身</w:t>
            </w:r>
          </w:p>
        </w:tc>
      </w:tr>
      <w:tr w14:paraId="0A49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31" w:type="dxa"/>
            <w:noWrap w:val="0"/>
            <w:vAlign w:val="center"/>
          </w:tcPr>
          <w:p w14:paraId="3C2A23E2">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骨骼</w:t>
            </w:r>
          </w:p>
        </w:tc>
        <w:tc>
          <w:tcPr>
            <w:tcW w:w="7048" w:type="dxa"/>
            <w:noWrap w:val="0"/>
            <w:vAlign w:val="top"/>
          </w:tcPr>
          <w:p w14:paraId="6DE7EAC8">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CT图像，重建上至颅顶下至第二颈椎，颅骨内部分骨骼如筛骨等显示不清难以精细重建</w:t>
            </w:r>
          </w:p>
        </w:tc>
      </w:tr>
      <w:tr w14:paraId="7A71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231" w:type="dxa"/>
            <w:noWrap w:val="0"/>
            <w:vAlign w:val="center"/>
          </w:tcPr>
          <w:p w14:paraId="7184BAD8">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脑（脑组织）</w:t>
            </w:r>
          </w:p>
        </w:tc>
        <w:tc>
          <w:tcPr>
            <w:tcW w:w="7048" w:type="dxa"/>
            <w:noWrap w:val="0"/>
            <w:vAlign w:val="top"/>
          </w:tcPr>
          <w:p w14:paraId="5C6AF69E">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脑组织本身</w:t>
            </w:r>
          </w:p>
        </w:tc>
      </w:tr>
      <w:tr w14:paraId="5D6D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231" w:type="dxa"/>
            <w:noWrap w:val="0"/>
            <w:vAlign w:val="center"/>
          </w:tcPr>
          <w:p w14:paraId="56B37C83">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神经</w:t>
            </w:r>
          </w:p>
        </w:tc>
        <w:tc>
          <w:tcPr>
            <w:tcW w:w="7048" w:type="dxa"/>
            <w:noWrap w:val="0"/>
            <w:vAlign w:val="top"/>
          </w:tcPr>
          <w:p w14:paraId="67C468EE">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与病变相关神经</w:t>
            </w:r>
          </w:p>
        </w:tc>
      </w:tr>
      <w:tr w14:paraId="5C73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231" w:type="dxa"/>
            <w:noWrap w:val="0"/>
            <w:vAlign w:val="center"/>
          </w:tcPr>
          <w:p w14:paraId="24507600">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病变周边器官</w:t>
            </w:r>
          </w:p>
        </w:tc>
        <w:tc>
          <w:tcPr>
            <w:tcW w:w="7048" w:type="dxa"/>
            <w:noWrap w:val="0"/>
            <w:vAlign w:val="center"/>
          </w:tcPr>
          <w:p w14:paraId="5FFA0F8E">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扫描范围内，与病变关联较近的器官</w:t>
            </w:r>
          </w:p>
        </w:tc>
      </w:tr>
      <w:tr w14:paraId="2A03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231" w:type="dxa"/>
            <w:noWrap w:val="0"/>
            <w:vAlign w:val="center"/>
          </w:tcPr>
          <w:p w14:paraId="26C18EC6">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病变周边肌肉</w:t>
            </w:r>
          </w:p>
        </w:tc>
        <w:tc>
          <w:tcPr>
            <w:tcW w:w="7048" w:type="dxa"/>
            <w:noWrap w:val="0"/>
            <w:vAlign w:val="center"/>
          </w:tcPr>
          <w:p w14:paraId="6F6E77AF">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扫描范围内，与病变紧贴、侵犯、包裹给予重建</w:t>
            </w:r>
          </w:p>
        </w:tc>
      </w:tr>
    </w:tbl>
    <w:p w14:paraId="303A0855">
      <w:pPr>
        <w:pStyle w:val="41"/>
        <w:spacing w:before="156" w:beforeLines="50" w:after="156" w:afterLines="50"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（2）管道结构重建标准</w:t>
      </w:r>
    </w:p>
    <w:tbl>
      <w:tblPr>
        <w:tblStyle w:val="18"/>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7713"/>
      </w:tblGrid>
      <w:tr w14:paraId="55A9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jc w:val="center"/>
        </w:trPr>
        <w:tc>
          <w:tcPr>
            <w:tcW w:w="1786" w:type="dxa"/>
            <w:noWrap w:val="0"/>
            <w:vAlign w:val="center"/>
          </w:tcPr>
          <w:p w14:paraId="28F02324">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分类</w:t>
            </w:r>
          </w:p>
        </w:tc>
        <w:tc>
          <w:tcPr>
            <w:tcW w:w="7713" w:type="dxa"/>
            <w:noWrap w:val="0"/>
            <w:vAlign w:val="center"/>
          </w:tcPr>
          <w:p w14:paraId="495FC1F9">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说明</w:t>
            </w:r>
          </w:p>
        </w:tc>
      </w:tr>
      <w:tr w14:paraId="49FA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786" w:type="dxa"/>
            <w:noWrap w:val="0"/>
            <w:vAlign w:val="center"/>
          </w:tcPr>
          <w:p w14:paraId="7FAB005F">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动脉</w:t>
            </w:r>
          </w:p>
        </w:tc>
        <w:tc>
          <w:tcPr>
            <w:tcW w:w="7713" w:type="dxa"/>
            <w:noWrap w:val="0"/>
            <w:vAlign w:val="center"/>
          </w:tcPr>
          <w:p w14:paraId="262A3A08">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按影像所见重建，包括椎基底动脉、颈内动脉、Willis动脉环、大脑前动脉、大脑中动脉、大脑后动脉、占位附近动脉等、占位附近动脉，动脉血管不得出现成片、成锯齿、空洞状</w:t>
            </w:r>
          </w:p>
        </w:tc>
      </w:tr>
      <w:tr w14:paraId="330B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786" w:type="dxa"/>
            <w:noWrap w:val="0"/>
            <w:vAlign w:val="center"/>
          </w:tcPr>
          <w:p w14:paraId="7A236D8B">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静脉</w:t>
            </w:r>
          </w:p>
        </w:tc>
        <w:tc>
          <w:tcPr>
            <w:tcW w:w="7713" w:type="dxa"/>
            <w:noWrap w:val="0"/>
            <w:vAlign w:val="center"/>
          </w:tcPr>
          <w:p w14:paraId="1D0200EC">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按影像所见重建，包括颈静脉、乙状窦、横窦，上矢状窦、上矢状窦及其影像所见分支、直窦、直窦及其影像所见分支、占位附近静脉，静脉血管不得出现成片、成锯齿、空洞状</w:t>
            </w:r>
          </w:p>
        </w:tc>
      </w:tr>
    </w:tbl>
    <w:p w14:paraId="32D9A9F9">
      <w:pPr>
        <w:pStyle w:val="41"/>
        <w:spacing w:before="156" w:beforeLines="50" w:after="156" w:afterLines="50"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（3）病变重建标准</w:t>
      </w:r>
    </w:p>
    <w:tbl>
      <w:tblPr>
        <w:tblStyle w:val="18"/>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0"/>
        <w:gridCol w:w="7189"/>
      </w:tblGrid>
      <w:tr w14:paraId="104EEEB6">
        <w:tblPrEx>
          <w:tblCellMar>
            <w:top w:w="0" w:type="dxa"/>
            <w:left w:w="108" w:type="dxa"/>
            <w:bottom w:w="0" w:type="dxa"/>
            <w:right w:w="108" w:type="dxa"/>
          </w:tblCellMar>
        </w:tblPrEx>
        <w:trPr>
          <w:trHeight w:val="443" w:hRule="atLeast"/>
          <w:jc w:val="center"/>
        </w:trPr>
        <w:tc>
          <w:tcPr>
            <w:tcW w:w="2390" w:type="dxa"/>
            <w:noWrap w:val="0"/>
            <w:vAlign w:val="center"/>
          </w:tcPr>
          <w:p w14:paraId="6B3CBFB8">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分类</w:t>
            </w:r>
          </w:p>
        </w:tc>
        <w:tc>
          <w:tcPr>
            <w:tcW w:w="7189" w:type="dxa"/>
            <w:noWrap w:val="0"/>
            <w:vAlign w:val="center"/>
          </w:tcPr>
          <w:p w14:paraId="11CBCDE8">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说明</w:t>
            </w:r>
          </w:p>
        </w:tc>
      </w:tr>
      <w:tr w14:paraId="4850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390" w:type="dxa"/>
            <w:noWrap w:val="0"/>
            <w:vAlign w:val="center"/>
          </w:tcPr>
          <w:p w14:paraId="78C26233">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脑膜瘤</w:t>
            </w:r>
          </w:p>
        </w:tc>
        <w:tc>
          <w:tcPr>
            <w:tcW w:w="7189" w:type="dxa"/>
            <w:noWrap w:val="0"/>
            <w:vAlign w:val="center"/>
          </w:tcPr>
          <w:p w14:paraId="3C6C07EA">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w:t>
            </w:r>
          </w:p>
        </w:tc>
      </w:tr>
      <w:tr w14:paraId="7EBDD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390" w:type="dxa"/>
            <w:noWrap w:val="0"/>
            <w:vAlign w:val="center"/>
          </w:tcPr>
          <w:p w14:paraId="6CEB5BF3">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神经胶质瘤</w:t>
            </w:r>
          </w:p>
        </w:tc>
        <w:tc>
          <w:tcPr>
            <w:tcW w:w="7189" w:type="dxa"/>
            <w:noWrap w:val="0"/>
            <w:vAlign w:val="center"/>
          </w:tcPr>
          <w:p w14:paraId="28893005">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w:t>
            </w:r>
          </w:p>
        </w:tc>
      </w:tr>
      <w:tr w14:paraId="0698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390" w:type="dxa"/>
            <w:noWrap w:val="0"/>
            <w:vAlign w:val="center"/>
          </w:tcPr>
          <w:p w14:paraId="43031D16">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脑梗死</w:t>
            </w:r>
          </w:p>
        </w:tc>
        <w:tc>
          <w:tcPr>
            <w:tcW w:w="7189" w:type="dxa"/>
            <w:noWrap w:val="0"/>
            <w:vAlign w:val="center"/>
          </w:tcPr>
          <w:p w14:paraId="2F22EA02">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w:t>
            </w:r>
          </w:p>
        </w:tc>
      </w:tr>
      <w:tr w14:paraId="72CB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390" w:type="dxa"/>
            <w:noWrap w:val="0"/>
            <w:vAlign w:val="center"/>
          </w:tcPr>
          <w:p w14:paraId="10FF20A1">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脑出血</w:t>
            </w:r>
          </w:p>
        </w:tc>
        <w:tc>
          <w:tcPr>
            <w:tcW w:w="7189" w:type="dxa"/>
            <w:noWrap w:val="0"/>
            <w:vAlign w:val="center"/>
          </w:tcPr>
          <w:p w14:paraId="7D4E5958">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w:t>
            </w:r>
          </w:p>
        </w:tc>
      </w:tr>
      <w:tr w14:paraId="0AA1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390" w:type="dxa"/>
            <w:noWrap w:val="0"/>
            <w:vAlign w:val="center"/>
          </w:tcPr>
          <w:p w14:paraId="567E7061">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蛛网膜下腔出血</w:t>
            </w:r>
          </w:p>
        </w:tc>
        <w:tc>
          <w:tcPr>
            <w:tcW w:w="7189" w:type="dxa"/>
            <w:noWrap w:val="0"/>
            <w:vAlign w:val="center"/>
          </w:tcPr>
          <w:p w14:paraId="1DF76FBE">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w:t>
            </w:r>
          </w:p>
        </w:tc>
      </w:tr>
    </w:tbl>
    <w:p w14:paraId="1B42D1D7">
      <w:pPr>
        <w:pStyle w:val="41"/>
        <w:spacing w:before="156" w:beforeLines="50" w:line="360" w:lineRule="auto"/>
        <w:ind w:firstLine="480" w:firstLineChars="200"/>
        <w:rPr>
          <w:rFonts w:hint="eastAsia" w:ascii="仿宋" w:hAnsi="仿宋" w:eastAsia="仿宋" w:cs="仿宋"/>
          <w:color w:val="auto"/>
          <w:sz w:val="24"/>
          <w:highlight w:val="none"/>
        </w:rPr>
      </w:pPr>
      <w:bookmarkStart w:id="15" w:name="_Toc69030634"/>
      <w:r>
        <w:rPr>
          <w:rFonts w:hint="eastAsia" w:ascii="仿宋" w:hAnsi="仿宋" w:eastAsia="仿宋" w:cs="仿宋"/>
          <w:color w:val="auto"/>
          <w:sz w:val="24"/>
          <w:highlight w:val="none"/>
        </w:rPr>
        <w:t>3.2 三维重建说明标准</w:t>
      </w:r>
      <w:bookmarkEnd w:id="15"/>
      <w:r>
        <w:rPr>
          <w:rFonts w:hint="eastAsia" w:ascii="仿宋" w:hAnsi="仿宋" w:eastAsia="仿宋" w:cs="仿宋"/>
          <w:color w:val="auto"/>
          <w:sz w:val="24"/>
          <w:highlight w:val="none"/>
        </w:rPr>
        <w:t>，提供PDF格式的三维重建说明，内容包括</w:t>
      </w:r>
    </w:p>
    <w:p w14:paraId="602A876D">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（1）患者信息（床位、住院号、影像号）、医院信息（科室）、重建单号等；</w:t>
      </w:r>
    </w:p>
    <w:p w14:paraId="2AF6F149">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（2）3D重建模型体积计算；</w:t>
      </w:r>
    </w:p>
    <w:p w14:paraId="3FDEE88D">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（3）3D重建模型整体展示、病变与器官相关性展示、病变与动脉相关性展示、病变与静脉相关性展示、病变与神经相关性展示等。</w:t>
      </w:r>
    </w:p>
    <w:p w14:paraId="2EE0701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4.乳腺外科</w:t>
      </w:r>
    </w:p>
    <w:p w14:paraId="01087925">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 3D模型标准</w:t>
      </w:r>
    </w:p>
    <w:p w14:paraId="3B2DA479">
      <w:pPr>
        <w:pStyle w:val="41"/>
        <w:spacing w:after="156" w:afterLines="50"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（1）器官重建标准</w:t>
      </w:r>
    </w:p>
    <w:tbl>
      <w:tblPr>
        <w:tblStyle w:val="18"/>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6858"/>
      </w:tblGrid>
      <w:tr w14:paraId="04AA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301" w:type="dxa"/>
            <w:noWrap w:val="0"/>
            <w:vAlign w:val="center"/>
          </w:tcPr>
          <w:p w14:paraId="010570FE">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分类</w:t>
            </w:r>
          </w:p>
        </w:tc>
        <w:tc>
          <w:tcPr>
            <w:tcW w:w="6858" w:type="dxa"/>
            <w:noWrap w:val="0"/>
            <w:vAlign w:val="center"/>
          </w:tcPr>
          <w:p w14:paraId="7883FD85">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说明</w:t>
            </w:r>
          </w:p>
        </w:tc>
      </w:tr>
      <w:tr w14:paraId="26B8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301" w:type="dxa"/>
            <w:noWrap w:val="0"/>
            <w:vAlign w:val="center"/>
          </w:tcPr>
          <w:p w14:paraId="11E16DC9">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乳腺</w:t>
            </w:r>
          </w:p>
        </w:tc>
        <w:tc>
          <w:tcPr>
            <w:tcW w:w="6858" w:type="dxa"/>
            <w:noWrap w:val="0"/>
            <w:vAlign w:val="center"/>
          </w:tcPr>
          <w:p w14:paraId="10AED1CE">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全部腺体，腺体分左右侧</w:t>
            </w:r>
          </w:p>
        </w:tc>
      </w:tr>
      <w:tr w14:paraId="6E44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301" w:type="dxa"/>
            <w:noWrap w:val="0"/>
            <w:vAlign w:val="center"/>
          </w:tcPr>
          <w:p w14:paraId="2AB13D02">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淋巴结</w:t>
            </w:r>
          </w:p>
        </w:tc>
        <w:tc>
          <w:tcPr>
            <w:tcW w:w="6858" w:type="dxa"/>
            <w:noWrap w:val="0"/>
            <w:vAlign w:val="center"/>
          </w:tcPr>
          <w:p w14:paraId="161163A1">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按影像所见边界重建，扫描范围内短径≥5mm的淋巴结</w:t>
            </w:r>
          </w:p>
        </w:tc>
      </w:tr>
      <w:tr w14:paraId="4A3E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301" w:type="dxa"/>
            <w:noWrap w:val="0"/>
            <w:vAlign w:val="center"/>
          </w:tcPr>
          <w:p w14:paraId="5887EFE8">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皮肤</w:t>
            </w:r>
          </w:p>
        </w:tc>
        <w:tc>
          <w:tcPr>
            <w:tcW w:w="6858" w:type="dxa"/>
            <w:noWrap w:val="0"/>
            <w:vAlign w:val="center"/>
          </w:tcPr>
          <w:p w14:paraId="4C2B30FB">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按影像所见边界重建，皮肤外轮廓</w:t>
            </w:r>
          </w:p>
        </w:tc>
      </w:tr>
      <w:tr w14:paraId="7BE2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301" w:type="dxa"/>
            <w:noWrap w:val="0"/>
            <w:vAlign w:val="center"/>
          </w:tcPr>
          <w:p w14:paraId="79F40814">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肌肉</w:t>
            </w:r>
          </w:p>
        </w:tc>
        <w:tc>
          <w:tcPr>
            <w:tcW w:w="6858" w:type="dxa"/>
            <w:noWrap w:val="0"/>
            <w:vAlign w:val="center"/>
          </w:tcPr>
          <w:p w14:paraId="08A5A0F3">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制作与病变挤压、侵犯、紧贴部分</w:t>
            </w:r>
          </w:p>
        </w:tc>
      </w:tr>
      <w:tr w14:paraId="07F3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301" w:type="dxa"/>
            <w:noWrap w:val="0"/>
            <w:vAlign w:val="center"/>
          </w:tcPr>
          <w:p w14:paraId="0E7BA598">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病变周边器官</w:t>
            </w:r>
          </w:p>
        </w:tc>
        <w:tc>
          <w:tcPr>
            <w:tcW w:w="6858" w:type="dxa"/>
            <w:noWrap w:val="0"/>
            <w:vAlign w:val="center"/>
          </w:tcPr>
          <w:p w14:paraId="2D3D1BC0">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扫描范围内，与病变关联较近的器官</w:t>
            </w:r>
          </w:p>
        </w:tc>
      </w:tr>
    </w:tbl>
    <w:p w14:paraId="1627562B">
      <w:pPr>
        <w:pStyle w:val="41"/>
        <w:spacing w:before="156" w:beforeLines="50" w:after="156" w:afterLines="50"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（2）血管重建标准</w:t>
      </w:r>
    </w:p>
    <w:tbl>
      <w:tblPr>
        <w:tblStyle w:val="18"/>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7346"/>
      </w:tblGrid>
      <w:tr w14:paraId="35C1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jc w:val="center"/>
        </w:trPr>
        <w:tc>
          <w:tcPr>
            <w:tcW w:w="2013" w:type="dxa"/>
            <w:noWrap w:val="0"/>
            <w:vAlign w:val="center"/>
          </w:tcPr>
          <w:p w14:paraId="0ED96134">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分类</w:t>
            </w:r>
          </w:p>
        </w:tc>
        <w:tc>
          <w:tcPr>
            <w:tcW w:w="7346" w:type="dxa"/>
            <w:noWrap w:val="0"/>
            <w:vAlign w:val="center"/>
          </w:tcPr>
          <w:p w14:paraId="0F4B9297">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说明</w:t>
            </w:r>
          </w:p>
        </w:tc>
      </w:tr>
      <w:tr w14:paraId="46DE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013" w:type="dxa"/>
            <w:noWrap w:val="0"/>
            <w:vAlign w:val="center"/>
          </w:tcPr>
          <w:p w14:paraId="7695DC16">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动脉</w:t>
            </w:r>
          </w:p>
        </w:tc>
        <w:tc>
          <w:tcPr>
            <w:tcW w:w="7346" w:type="dxa"/>
            <w:noWrap w:val="0"/>
            <w:vAlign w:val="center"/>
          </w:tcPr>
          <w:p w14:paraId="55DE5FC4">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按影像所见重建，动脉血管不得出现成片、成锯齿、空洞状</w:t>
            </w:r>
          </w:p>
        </w:tc>
      </w:tr>
      <w:tr w14:paraId="053F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013" w:type="dxa"/>
            <w:noWrap w:val="0"/>
            <w:vAlign w:val="center"/>
          </w:tcPr>
          <w:p w14:paraId="6F365BCB">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静脉</w:t>
            </w:r>
          </w:p>
        </w:tc>
        <w:tc>
          <w:tcPr>
            <w:tcW w:w="7346" w:type="dxa"/>
            <w:noWrap w:val="0"/>
            <w:vAlign w:val="center"/>
          </w:tcPr>
          <w:p w14:paraId="116540B9">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按影像所见重建，静脉血管不得出现成片、成锯齿、空洞状</w:t>
            </w:r>
          </w:p>
        </w:tc>
      </w:tr>
    </w:tbl>
    <w:p w14:paraId="1F2445AE">
      <w:pPr>
        <w:pStyle w:val="41"/>
        <w:spacing w:before="156" w:beforeLines="50" w:after="156" w:afterLines="50"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（3）病变重建标准</w:t>
      </w:r>
    </w:p>
    <w:tbl>
      <w:tblPr>
        <w:tblStyle w:val="18"/>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6"/>
        <w:gridCol w:w="7073"/>
      </w:tblGrid>
      <w:tr w14:paraId="28581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2546" w:type="dxa"/>
            <w:noWrap w:val="0"/>
            <w:vAlign w:val="center"/>
          </w:tcPr>
          <w:p w14:paraId="242FFF14">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分类</w:t>
            </w:r>
          </w:p>
        </w:tc>
        <w:tc>
          <w:tcPr>
            <w:tcW w:w="7073" w:type="dxa"/>
            <w:noWrap w:val="0"/>
            <w:vAlign w:val="center"/>
          </w:tcPr>
          <w:p w14:paraId="1434FC0C">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说明</w:t>
            </w:r>
          </w:p>
        </w:tc>
      </w:tr>
      <w:tr w14:paraId="6EF1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546" w:type="dxa"/>
            <w:noWrap w:val="0"/>
            <w:vAlign w:val="center"/>
          </w:tcPr>
          <w:p w14:paraId="16B78551">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占位</w:t>
            </w:r>
          </w:p>
        </w:tc>
        <w:tc>
          <w:tcPr>
            <w:tcW w:w="7073" w:type="dxa"/>
            <w:noWrap w:val="0"/>
            <w:vAlign w:val="center"/>
          </w:tcPr>
          <w:p w14:paraId="7E8F5B67">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w:t>
            </w:r>
          </w:p>
        </w:tc>
      </w:tr>
      <w:tr w14:paraId="3B9C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546" w:type="dxa"/>
            <w:noWrap w:val="0"/>
            <w:vAlign w:val="center"/>
          </w:tcPr>
          <w:p w14:paraId="391284BA">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结节</w:t>
            </w:r>
          </w:p>
        </w:tc>
        <w:tc>
          <w:tcPr>
            <w:tcW w:w="7073" w:type="dxa"/>
            <w:noWrap w:val="0"/>
            <w:vAlign w:val="center"/>
          </w:tcPr>
          <w:p w14:paraId="04D6212A">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w:t>
            </w:r>
          </w:p>
        </w:tc>
      </w:tr>
    </w:tbl>
    <w:p w14:paraId="7A1E6FFE">
      <w:pPr>
        <w:pStyle w:val="41"/>
        <w:spacing w:before="156" w:beforeLines="5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 三维重建说明标准.提供PDF格式的三维重建说明，内容包括</w:t>
      </w:r>
    </w:p>
    <w:p w14:paraId="28210A6F">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（1）患者信息（床位、住院号、影像号）、医院信息（科室）、重建单号等；</w:t>
      </w:r>
    </w:p>
    <w:p w14:paraId="5A5933AF">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（2）3D重建模型体积计算；</w:t>
      </w:r>
    </w:p>
    <w:p w14:paraId="6631454D">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（3）3D重建模型整体展示、病变与器官相关性展示、病变与动脉相关性展示、病变与静脉相关性展示等。</w:t>
      </w:r>
    </w:p>
    <w:p w14:paraId="191333E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5.头颈外科</w:t>
      </w:r>
    </w:p>
    <w:p w14:paraId="47D8FE0D">
      <w:pPr>
        <w:pStyle w:val="41"/>
        <w:spacing w:line="360" w:lineRule="auto"/>
        <w:ind w:firstLine="480" w:firstLineChars="200"/>
        <w:rPr>
          <w:rFonts w:hint="eastAsia" w:ascii="仿宋" w:hAnsi="仿宋" w:eastAsia="仿宋" w:cs="仿宋"/>
          <w:color w:val="auto"/>
          <w:sz w:val="24"/>
          <w:highlight w:val="none"/>
        </w:rPr>
      </w:pPr>
      <w:bookmarkStart w:id="16" w:name="_Toc69030653"/>
      <w:r>
        <w:rPr>
          <w:rFonts w:hint="eastAsia" w:ascii="仿宋" w:hAnsi="仿宋" w:eastAsia="仿宋" w:cs="仿宋"/>
          <w:color w:val="auto"/>
          <w:sz w:val="24"/>
          <w:highlight w:val="none"/>
        </w:rPr>
        <w:t>5.1 3D模型标准</w:t>
      </w:r>
      <w:bookmarkEnd w:id="16"/>
    </w:p>
    <w:p w14:paraId="2D2A693D">
      <w:pPr>
        <w:pStyle w:val="41"/>
        <w:spacing w:after="156" w:afterLines="50"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（1）器官重建标准</w:t>
      </w:r>
    </w:p>
    <w:tbl>
      <w:tblPr>
        <w:tblStyle w:val="18"/>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6463"/>
      </w:tblGrid>
      <w:tr w14:paraId="7027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2356" w:type="dxa"/>
            <w:noWrap w:val="0"/>
            <w:vAlign w:val="center"/>
          </w:tcPr>
          <w:p w14:paraId="1EFB40B4">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分类</w:t>
            </w:r>
          </w:p>
        </w:tc>
        <w:tc>
          <w:tcPr>
            <w:tcW w:w="6463" w:type="dxa"/>
            <w:noWrap w:val="0"/>
            <w:vAlign w:val="center"/>
          </w:tcPr>
          <w:p w14:paraId="4113EDE9">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说明</w:t>
            </w:r>
          </w:p>
        </w:tc>
      </w:tr>
      <w:tr w14:paraId="7D8A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2356" w:type="dxa"/>
            <w:noWrap w:val="0"/>
            <w:vAlign w:val="center"/>
          </w:tcPr>
          <w:p w14:paraId="1C9F97E7">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甲状腺</w:t>
            </w:r>
          </w:p>
        </w:tc>
        <w:tc>
          <w:tcPr>
            <w:tcW w:w="6463" w:type="dxa"/>
            <w:noWrap w:val="0"/>
            <w:vAlign w:val="center"/>
          </w:tcPr>
          <w:p w14:paraId="07BD91A1">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按影像所见边界重建，甲状腺外轮廓</w:t>
            </w:r>
          </w:p>
        </w:tc>
      </w:tr>
      <w:tr w14:paraId="69BA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2356" w:type="dxa"/>
            <w:noWrap w:val="0"/>
            <w:vAlign w:val="center"/>
          </w:tcPr>
          <w:p w14:paraId="795C77E4">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气管</w:t>
            </w:r>
          </w:p>
        </w:tc>
        <w:tc>
          <w:tcPr>
            <w:tcW w:w="6463" w:type="dxa"/>
            <w:noWrap w:val="0"/>
            <w:vAlign w:val="center"/>
          </w:tcPr>
          <w:p w14:paraId="20DD055B">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按影像所见边界重建，气管本身</w:t>
            </w:r>
          </w:p>
        </w:tc>
      </w:tr>
      <w:tr w14:paraId="0BCA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2356" w:type="dxa"/>
            <w:noWrap w:val="0"/>
            <w:vAlign w:val="center"/>
          </w:tcPr>
          <w:p w14:paraId="46F2BDF0">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食管</w:t>
            </w:r>
          </w:p>
        </w:tc>
        <w:tc>
          <w:tcPr>
            <w:tcW w:w="6463" w:type="dxa"/>
            <w:noWrap w:val="0"/>
            <w:vAlign w:val="center"/>
          </w:tcPr>
          <w:p w14:paraId="61C27B44">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按影像所见边界重建，食管本身</w:t>
            </w:r>
          </w:p>
        </w:tc>
      </w:tr>
      <w:tr w14:paraId="1E4F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2356" w:type="dxa"/>
            <w:noWrap w:val="0"/>
            <w:vAlign w:val="center"/>
          </w:tcPr>
          <w:p w14:paraId="07254B3C">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淋巴结</w:t>
            </w:r>
          </w:p>
        </w:tc>
        <w:tc>
          <w:tcPr>
            <w:tcW w:w="6463" w:type="dxa"/>
            <w:noWrap w:val="0"/>
            <w:vAlign w:val="center"/>
          </w:tcPr>
          <w:p w14:paraId="5E11B674">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按影像所见边界重建，扫描范围内短径≥5mm的淋巴结</w:t>
            </w:r>
          </w:p>
        </w:tc>
      </w:tr>
      <w:tr w14:paraId="0F45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2356" w:type="dxa"/>
            <w:noWrap w:val="0"/>
            <w:vAlign w:val="center"/>
          </w:tcPr>
          <w:p w14:paraId="3D08CB7F">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皮肤</w:t>
            </w:r>
          </w:p>
        </w:tc>
        <w:tc>
          <w:tcPr>
            <w:tcW w:w="6463" w:type="dxa"/>
            <w:noWrap w:val="0"/>
            <w:vAlign w:val="center"/>
          </w:tcPr>
          <w:p w14:paraId="14270D72">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按影像所见边界重建，皮肤外轮廓</w:t>
            </w:r>
          </w:p>
        </w:tc>
      </w:tr>
      <w:tr w14:paraId="6CDF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2356" w:type="dxa"/>
            <w:noWrap w:val="0"/>
            <w:vAlign w:val="center"/>
          </w:tcPr>
          <w:p w14:paraId="00D80EDC">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骨骼</w:t>
            </w:r>
          </w:p>
        </w:tc>
        <w:tc>
          <w:tcPr>
            <w:tcW w:w="6463" w:type="dxa"/>
            <w:noWrap w:val="0"/>
            <w:vAlign w:val="center"/>
          </w:tcPr>
          <w:p w14:paraId="67A31ED9">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上缘至下颌骨下颌头，下至第二肋骨平对胸骨角</w:t>
            </w:r>
          </w:p>
        </w:tc>
      </w:tr>
      <w:tr w14:paraId="02F61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356" w:type="dxa"/>
            <w:noWrap w:val="0"/>
            <w:vAlign w:val="center"/>
          </w:tcPr>
          <w:p w14:paraId="2CEDE537">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病变周边器官</w:t>
            </w:r>
          </w:p>
        </w:tc>
        <w:tc>
          <w:tcPr>
            <w:tcW w:w="6463" w:type="dxa"/>
            <w:noWrap w:val="0"/>
            <w:vAlign w:val="center"/>
          </w:tcPr>
          <w:p w14:paraId="7E4119EF">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扫描范围内，与病变关联较近的器官</w:t>
            </w:r>
          </w:p>
        </w:tc>
      </w:tr>
    </w:tbl>
    <w:p w14:paraId="7575FE1F">
      <w:pPr>
        <w:pStyle w:val="41"/>
        <w:ind w:firstLine="480" w:firstLineChars="200"/>
        <w:rPr>
          <w:rFonts w:hint="eastAsia" w:ascii="仿宋" w:hAnsi="仿宋" w:eastAsia="仿宋" w:cs="仿宋"/>
          <w:color w:val="auto"/>
          <w:sz w:val="24"/>
          <w:highlight w:val="none"/>
        </w:rPr>
      </w:pPr>
    </w:p>
    <w:p w14:paraId="30743501">
      <w:pPr>
        <w:pStyle w:val="41"/>
        <w:spacing w:after="156" w:afterLines="50"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（2）血管重建标准</w:t>
      </w:r>
    </w:p>
    <w:tbl>
      <w:tblPr>
        <w:tblStyle w:val="18"/>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7449"/>
      </w:tblGrid>
      <w:tr w14:paraId="6BDF2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870" w:type="dxa"/>
            <w:noWrap w:val="0"/>
            <w:vAlign w:val="center"/>
          </w:tcPr>
          <w:p w14:paraId="329EF9B1">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分类</w:t>
            </w:r>
          </w:p>
        </w:tc>
        <w:tc>
          <w:tcPr>
            <w:tcW w:w="7449" w:type="dxa"/>
            <w:noWrap w:val="0"/>
            <w:vAlign w:val="center"/>
          </w:tcPr>
          <w:p w14:paraId="0AA86FCB">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说明</w:t>
            </w:r>
          </w:p>
        </w:tc>
      </w:tr>
      <w:tr w14:paraId="00BE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870" w:type="dxa"/>
            <w:noWrap w:val="0"/>
            <w:vAlign w:val="center"/>
          </w:tcPr>
          <w:p w14:paraId="2BE23A68">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动脉</w:t>
            </w:r>
          </w:p>
        </w:tc>
        <w:tc>
          <w:tcPr>
            <w:tcW w:w="7449" w:type="dxa"/>
            <w:noWrap w:val="0"/>
            <w:vAlign w:val="center"/>
          </w:tcPr>
          <w:p w14:paraId="639360B5">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按影像所见重建，动脉血管不得出现成片、成锯齿、空洞状</w:t>
            </w:r>
          </w:p>
        </w:tc>
      </w:tr>
      <w:tr w14:paraId="1AB5F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870" w:type="dxa"/>
            <w:noWrap w:val="0"/>
            <w:vAlign w:val="center"/>
          </w:tcPr>
          <w:p w14:paraId="706842CB">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静脉</w:t>
            </w:r>
          </w:p>
        </w:tc>
        <w:tc>
          <w:tcPr>
            <w:tcW w:w="7449" w:type="dxa"/>
            <w:noWrap w:val="0"/>
            <w:vAlign w:val="center"/>
          </w:tcPr>
          <w:p w14:paraId="4E67B906">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按影像所见重建，静脉血管不得出现成片、成锯齿、空洞状</w:t>
            </w:r>
          </w:p>
        </w:tc>
      </w:tr>
    </w:tbl>
    <w:p w14:paraId="063FCA4A">
      <w:pPr>
        <w:pStyle w:val="41"/>
        <w:spacing w:before="156" w:beforeLines="50" w:after="156" w:afterLines="50" w:line="360" w:lineRule="auto"/>
        <w:ind w:firstLine="482" w:firstLineChars="200"/>
        <w:rPr>
          <w:rFonts w:hint="eastAsia" w:ascii="仿宋" w:hAnsi="仿宋" w:eastAsia="仿宋" w:cs="仿宋"/>
          <w:color w:val="auto"/>
          <w:sz w:val="24"/>
          <w:highlight w:val="none"/>
        </w:rPr>
      </w:pPr>
      <w:bookmarkStart w:id="17" w:name="_Toc13225546"/>
      <w:bookmarkStart w:id="18" w:name="_Toc13232010"/>
      <w:r>
        <w:rPr>
          <w:rFonts w:hint="eastAsia" w:ascii="仿宋" w:hAnsi="仿宋" w:eastAsia="仿宋" w:cs="仿宋"/>
          <w:b/>
          <w:bCs/>
          <w:color w:val="auto"/>
          <w:sz w:val="24"/>
          <w:highlight w:val="none"/>
        </w:rPr>
        <w:t>（3）病变重建标准</w:t>
      </w:r>
    </w:p>
    <w:bookmarkEnd w:id="17"/>
    <w:bookmarkEnd w:id="18"/>
    <w:tbl>
      <w:tblPr>
        <w:tblStyle w:val="18"/>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7102"/>
      </w:tblGrid>
      <w:tr w14:paraId="4DA9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557" w:type="dxa"/>
            <w:noWrap w:val="0"/>
            <w:vAlign w:val="center"/>
          </w:tcPr>
          <w:p w14:paraId="6D077E3C">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分类</w:t>
            </w:r>
          </w:p>
        </w:tc>
        <w:tc>
          <w:tcPr>
            <w:tcW w:w="7102" w:type="dxa"/>
            <w:noWrap w:val="0"/>
            <w:vAlign w:val="center"/>
          </w:tcPr>
          <w:p w14:paraId="519A10C6">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说明</w:t>
            </w:r>
          </w:p>
        </w:tc>
      </w:tr>
      <w:tr w14:paraId="24E17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557" w:type="dxa"/>
            <w:noWrap w:val="0"/>
            <w:vAlign w:val="center"/>
          </w:tcPr>
          <w:p w14:paraId="014C6CA9">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占位</w:t>
            </w:r>
          </w:p>
        </w:tc>
        <w:tc>
          <w:tcPr>
            <w:tcW w:w="7102" w:type="dxa"/>
            <w:noWrap w:val="0"/>
            <w:vAlign w:val="center"/>
          </w:tcPr>
          <w:p w14:paraId="6DBECFD3">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w:t>
            </w:r>
          </w:p>
        </w:tc>
      </w:tr>
      <w:tr w14:paraId="60B2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557" w:type="dxa"/>
            <w:noWrap w:val="0"/>
            <w:vAlign w:val="center"/>
          </w:tcPr>
          <w:p w14:paraId="596E593B">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结节</w:t>
            </w:r>
          </w:p>
        </w:tc>
        <w:tc>
          <w:tcPr>
            <w:tcW w:w="7102" w:type="dxa"/>
            <w:noWrap w:val="0"/>
            <w:vAlign w:val="center"/>
          </w:tcPr>
          <w:p w14:paraId="28BC9189">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w:t>
            </w:r>
          </w:p>
        </w:tc>
      </w:tr>
    </w:tbl>
    <w:p w14:paraId="1CAD3B92">
      <w:pPr>
        <w:pStyle w:val="41"/>
        <w:spacing w:before="156" w:beforeLines="50" w:line="360" w:lineRule="auto"/>
        <w:ind w:firstLine="480" w:firstLineChars="200"/>
        <w:rPr>
          <w:rFonts w:hint="eastAsia" w:ascii="仿宋" w:hAnsi="仿宋" w:eastAsia="仿宋" w:cs="仿宋"/>
          <w:color w:val="auto"/>
          <w:sz w:val="24"/>
          <w:highlight w:val="none"/>
        </w:rPr>
      </w:pPr>
      <w:bookmarkStart w:id="19" w:name="_Toc69030654"/>
      <w:r>
        <w:rPr>
          <w:rFonts w:hint="eastAsia" w:ascii="仿宋" w:hAnsi="仿宋" w:eastAsia="仿宋" w:cs="仿宋"/>
          <w:color w:val="auto"/>
          <w:sz w:val="24"/>
          <w:highlight w:val="none"/>
        </w:rPr>
        <w:t>5.2 三维重建说明标准</w:t>
      </w:r>
      <w:bookmarkEnd w:id="19"/>
      <w:r>
        <w:rPr>
          <w:rFonts w:hint="eastAsia" w:ascii="仿宋" w:hAnsi="仿宋" w:eastAsia="仿宋" w:cs="仿宋"/>
          <w:color w:val="auto"/>
          <w:sz w:val="24"/>
          <w:highlight w:val="none"/>
        </w:rPr>
        <w:t>，提供PDF格式的三维重建说明，内容包括</w:t>
      </w:r>
    </w:p>
    <w:p w14:paraId="03EE750A">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（1）患者信息（床位、住院号、影像号）、医院信息（科室）、重建单号等；</w:t>
      </w:r>
    </w:p>
    <w:p w14:paraId="06A69941">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（2）3D重建模型体积计算；</w:t>
      </w:r>
    </w:p>
    <w:p w14:paraId="03FC4F82">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（3）3D重建模型整体展示、病变与器官相关性展示、病变与动脉相关性展示、病变与静脉相关性展示等。</w:t>
      </w:r>
    </w:p>
    <w:p w14:paraId="2FB8781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6.妇产科</w:t>
      </w:r>
    </w:p>
    <w:p w14:paraId="4F77B600">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 3D模型标准</w:t>
      </w:r>
    </w:p>
    <w:p w14:paraId="447E7752">
      <w:pPr>
        <w:pStyle w:val="41"/>
        <w:spacing w:after="156" w:afterLines="50"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（1）器官重建标准</w:t>
      </w:r>
    </w:p>
    <w:tbl>
      <w:tblPr>
        <w:tblStyle w:val="18"/>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2"/>
        <w:gridCol w:w="7057"/>
      </w:tblGrid>
      <w:tr w14:paraId="444A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102" w:type="dxa"/>
            <w:noWrap w:val="0"/>
            <w:vAlign w:val="center"/>
          </w:tcPr>
          <w:p w14:paraId="54428876">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分类</w:t>
            </w:r>
          </w:p>
        </w:tc>
        <w:tc>
          <w:tcPr>
            <w:tcW w:w="7057" w:type="dxa"/>
            <w:noWrap w:val="0"/>
            <w:vAlign w:val="center"/>
          </w:tcPr>
          <w:p w14:paraId="1EAC9846">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说明</w:t>
            </w:r>
          </w:p>
        </w:tc>
      </w:tr>
      <w:tr w14:paraId="6C79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2102" w:type="dxa"/>
            <w:noWrap w:val="0"/>
            <w:vAlign w:val="center"/>
          </w:tcPr>
          <w:p w14:paraId="5E865DA2">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子宫</w:t>
            </w:r>
          </w:p>
        </w:tc>
        <w:tc>
          <w:tcPr>
            <w:tcW w:w="7057" w:type="dxa"/>
            <w:noWrap w:val="0"/>
            <w:vAlign w:val="center"/>
          </w:tcPr>
          <w:p w14:paraId="20C3124B">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按影像所见重建，全部子宫外轮廓，包括宫颈、宫体、宫底、占位</w:t>
            </w:r>
          </w:p>
        </w:tc>
      </w:tr>
      <w:tr w14:paraId="0E76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2102" w:type="dxa"/>
            <w:noWrap w:val="0"/>
            <w:vAlign w:val="center"/>
          </w:tcPr>
          <w:p w14:paraId="3FC7EBD3">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附件</w:t>
            </w:r>
          </w:p>
        </w:tc>
        <w:tc>
          <w:tcPr>
            <w:tcW w:w="7057" w:type="dxa"/>
            <w:noWrap w:val="0"/>
            <w:vAlign w:val="center"/>
          </w:tcPr>
          <w:p w14:paraId="1475CD10">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按影像所见重建，附件内轮廓，包括附件内占位、结石；区分左右侧</w:t>
            </w:r>
          </w:p>
        </w:tc>
      </w:tr>
      <w:tr w14:paraId="65B5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102" w:type="dxa"/>
            <w:noWrap w:val="0"/>
            <w:vAlign w:val="center"/>
          </w:tcPr>
          <w:p w14:paraId="6F49DB09">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宫腔</w:t>
            </w:r>
          </w:p>
        </w:tc>
        <w:tc>
          <w:tcPr>
            <w:tcW w:w="7057" w:type="dxa"/>
            <w:noWrap w:val="0"/>
            <w:vAlign w:val="center"/>
          </w:tcPr>
          <w:p w14:paraId="04A4E11C">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按影像所见重建，全部宫腔外轮廓，包括宫腔内积液、息肉</w:t>
            </w:r>
          </w:p>
        </w:tc>
      </w:tr>
      <w:tr w14:paraId="45C2A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2102" w:type="dxa"/>
            <w:noWrap w:val="0"/>
            <w:vAlign w:val="center"/>
          </w:tcPr>
          <w:p w14:paraId="7C9550A3">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直肠</w:t>
            </w:r>
          </w:p>
        </w:tc>
        <w:tc>
          <w:tcPr>
            <w:tcW w:w="7057" w:type="dxa"/>
            <w:noWrap w:val="0"/>
            <w:vAlign w:val="center"/>
          </w:tcPr>
          <w:p w14:paraId="37B772C8">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按影像所见重建，若乙状结肠与子宫、附件紧贴，则包括乙状结肠并命名为肠道</w:t>
            </w:r>
          </w:p>
        </w:tc>
      </w:tr>
      <w:tr w14:paraId="2D46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102" w:type="dxa"/>
            <w:noWrap w:val="0"/>
            <w:vAlign w:val="center"/>
          </w:tcPr>
          <w:p w14:paraId="785CB1FE">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膀胱</w:t>
            </w:r>
          </w:p>
        </w:tc>
        <w:tc>
          <w:tcPr>
            <w:tcW w:w="7057" w:type="dxa"/>
            <w:noWrap w:val="0"/>
            <w:vAlign w:val="center"/>
          </w:tcPr>
          <w:p w14:paraId="0EB2CED9">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按影像所见重建，全部膀胱外轮廓</w:t>
            </w:r>
          </w:p>
        </w:tc>
      </w:tr>
      <w:tr w14:paraId="419D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102" w:type="dxa"/>
            <w:noWrap w:val="0"/>
            <w:vAlign w:val="center"/>
          </w:tcPr>
          <w:p w14:paraId="5DBE2B7D">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阴道</w:t>
            </w:r>
          </w:p>
        </w:tc>
        <w:tc>
          <w:tcPr>
            <w:tcW w:w="7057" w:type="dxa"/>
            <w:noWrap w:val="0"/>
            <w:vAlign w:val="center"/>
          </w:tcPr>
          <w:p w14:paraId="65E612EE">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按影像所见重建，全部阴道外轮廓</w:t>
            </w:r>
          </w:p>
        </w:tc>
      </w:tr>
      <w:tr w14:paraId="182A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102" w:type="dxa"/>
            <w:noWrap w:val="0"/>
            <w:vAlign w:val="center"/>
          </w:tcPr>
          <w:p w14:paraId="3C0BEEB4">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骨盆</w:t>
            </w:r>
          </w:p>
        </w:tc>
        <w:tc>
          <w:tcPr>
            <w:tcW w:w="7057" w:type="dxa"/>
            <w:noWrap w:val="0"/>
            <w:vAlign w:val="center"/>
          </w:tcPr>
          <w:p w14:paraId="32E172DC">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按影像所见重建，全部骨骶骨、尾骨、大骨盆、耻骨联合等</w:t>
            </w:r>
          </w:p>
        </w:tc>
      </w:tr>
      <w:tr w14:paraId="21F3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102" w:type="dxa"/>
            <w:noWrap w:val="0"/>
            <w:vAlign w:val="center"/>
          </w:tcPr>
          <w:p w14:paraId="0FF7FEE8">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淋巴结</w:t>
            </w:r>
          </w:p>
        </w:tc>
        <w:tc>
          <w:tcPr>
            <w:tcW w:w="7057" w:type="dxa"/>
            <w:noWrap w:val="0"/>
            <w:vAlign w:val="center"/>
          </w:tcPr>
          <w:p w14:paraId="68023CCC">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按影像所见边界重建，扫描范围内短径≥5mm的淋巴结</w:t>
            </w:r>
          </w:p>
        </w:tc>
      </w:tr>
      <w:tr w14:paraId="4B1A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102" w:type="dxa"/>
            <w:noWrap w:val="0"/>
            <w:vAlign w:val="center"/>
          </w:tcPr>
          <w:p w14:paraId="263ADBD1">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皮肤</w:t>
            </w:r>
          </w:p>
        </w:tc>
        <w:tc>
          <w:tcPr>
            <w:tcW w:w="7057" w:type="dxa"/>
            <w:noWrap w:val="0"/>
            <w:vAlign w:val="center"/>
          </w:tcPr>
          <w:p w14:paraId="2FFC1620">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按影像所见边界重建，皮肤外轮廓</w:t>
            </w:r>
          </w:p>
        </w:tc>
      </w:tr>
      <w:tr w14:paraId="18E9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102" w:type="dxa"/>
            <w:noWrap w:val="0"/>
            <w:vAlign w:val="center"/>
          </w:tcPr>
          <w:p w14:paraId="0D3E4CB1">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病变周边肌肉</w:t>
            </w:r>
          </w:p>
        </w:tc>
        <w:tc>
          <w:tcPr>
            <w:tcW w:w="7057" w:type="dxa"/>
            <w:noWrap w:val="0"/>
            <w:vAlign w:val="center"/>
          </w:tcPr>
          <w:p w14:paraId="48325A98">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制作与病变挤压、侵犯、紧贴部分</w:t>
            </w:r>
          </w:p>
        </w:tc>
      </w:tr>
      <w:tr w14:paraId="06B1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102" w:type="dxa"/>
            <w:noWrap w:val="0"/>
            <w:vAlign w:val="center"/>
          </w:tcPr>
          <w:p w14:paraId="0EEE01ED">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病变周边器官</w:t>
            </w:r>
          </w:p>
        </w:tc>
        <w:tc>
          <w:tcPr>
            <w:tcW w:w="7057" w:type="dxa"/>
            <w:noWrap w:val="0"/>
            <w:vAlign w:val="center"/>
          </w:tcPr>
          <w:p w14:paraId="7D8DEF50">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扫描范围内，与病变关联较近的器官</w:t>
            </w:r>
          </w:p>
        </w:tc>
      </w:tr>
    </w:tbl>
    <w:p w14:paraId="700CDA42">
      <w:pPr>
        <w:pStyle w:val="41"/>
        <w:spacing w:before="156" w:beforeLines="50" w:after="156" w:afterLines="50"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（2）血管重建标准</w:t>
      </w:r>
    </w:p>
    <w:tbl>
      <w:tblPr>
        <w:tblStyle w:val="18"/>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7446"/>
      </w:tblGrid>
      <w:tr w14:paraId="62CFD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933" w:type="dxa"/>
            <w:noWrap w:val="0"/>
            <w:vAlign w:val="center"/>
          </w:tcPr>
          <w:p w14:paraId="705798A1">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分类</w:t>
            </w:r>
          </w:p>
        </w:tc>
        <w:tc>
          <w:tcPr>
            <w:tcW w:w="7446" w:type="dxa"/>
            <w:noWrap w:val="0"/>
            <w:vAlign w:val="center"/>
          </w:tcPr>
          <w:p w14:paraId="51BFDAAF">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说明</w:t>
            </w:r>
          </w:p>
        </w:tc>
      </w:tr>
      <w:tr w14:paraId="42A7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933" w:type="dxa"/>
            <w:noWrap w:val="0"/>
            <w:vAlign w:val="center"/>
          </w:tcPr>
          <w:p w14:paraId="29AB9898">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动脉</w:t>
            </w:r>
          </w:p>
        </w:tc>
        <w:tc>
          <w:tcPr>
            <w:tcW w:w="7446" w:type="dxa"/>
            <w:noWrap w:val="0"/>
            <w:vAlign w:val="center"/>
          </w:tcPr>
          <w:p w14:paraId="2AC5B0D3">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按影像所见重建，动脉血管不得出现成片、成锯齿、空洞状</w:t>
            </w:r>
          </w:p>
        </w:tc>
      </w:tr>
      <w:tr w14:paraId="26C0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33" w:type="dxa"/>
            <w:noWrap w:val="0"/>
            <w:vAlign w:val="center"/>
          </w:tcPr>
          <w:p w14:paraId="023EBDB6">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静脉</w:t>
            </w:r>
          </w:p>
        </w:tc>
        <w:tc>
          <w:tcPr>
            <w:tcW w:w="7446" w:type="dxa"/>
            <w:noWrap w:val="0"/>
            <w:vAlign w:val="center"/>
          </w:tcPr>
          <w:p w14:paraId="4BF36460">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按影像所见重建，静脉血管不得出现成片、成锯齿、空洞状</w:t>
            </w:r>
          </w:p>
        </w:tc>
      </w:tr>
    </w:tbl>
    <w:p w14:paraId="23FF3552">
      <w:pPr>
        <w:pStyle w:val="41"/>
        <w:spacing w:before="156" w:beforeLines="50" w:after="156" w:afterLines="50"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（3）病变重建标准</w:t>
      </w:r>
    </w:p>
    <w:tbl>
      <w:tblPr>
        <w:tblStyle w:val="18"/>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7192"/>
      </w:tblGrid>
      <w:tr w14:paraId="548A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367" w:type="dxa"/>
            <w:noWrap w:val="0"/>
            <w:vAlign w:val="center"/>
          </w:tcPr>
          <w:p w14:paraId="0A3C2471">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分类</w:t>
            </w:r>
          </w:p>
        </w:tc>
        <w:tc>
          <w:tcPr>
            <w:tcW w:w="7192" w:type="dxa"/>
            <w:noWrap w:val="0"/>
            <w:vAlign w:val="center"/>
          </w:tcPr>
          <w:p w14:paraId="71588F54">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说明</w:t>
            </w:r>
          </w:p>
        </w:tc>
      </w:tr>
      <w:tr w14:paraId="2322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367" w:type="dxa"/>
            <w:noWrap w:val="0"/>
            <w:vAlign w:val="center"/>
          </w:tcPr>
          <w:p w14:paraId="07E4C70C">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子宫腺肌症</w:t>
            </w:r>
          </w:p>
        </w:tc>
        <w:tc>
          <w:tcPr>
            <w:tcW w:w="7192" w:type="dxa"/>
            <w:noWrap w:val="0"/>
            <w:vAlign w:val="center"/>
          </w:tcPr>
          <w:p w14:paraId="1CEC7A46">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按影像所见重建，子宫体联合带局限性或弥漫性增厚</w:t>
            </w:r>
          </w:p>
        </w:tc>
      </w:tr>
      <w:tr w14:paraId="560CB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367" w:type="dxa"/>
            <w:noWrap w:val="0"/>
            <w:vAlign w:val="center"/>
          </w:tcPr>
          <w:p w14:paraId="043C61A2">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子宫肌瘤</w:t>
            </w:r>
          </w:p>
        </w:tc>
        <w:tc>
          <w:tcPr>
            <w:tcW w:w="7192" w:type="dxa"/>
            <w:noWrap w:val="0"/>
            <w:vAlign w:val="center"/>
          </w:tcPr>
          <w:p w14:paraId="5646755C">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按影像所见重建，占位外轮廓</w:t>
            </w:r>
          </w:p>
        </w:tc>
      </w:tr>
      <w:tr w14:paraId="6BC5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367" w:type="dxa"/>
            <w:noWrap w:val="0"/>
            <w:vAlign w:val="center"/>
          </w:tcPr>
          <w:p w14:paraId="3774277E">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内异结节</w:t>
            </w:r>
          </w:p>
        </w:tc>
        <w:tc>
          <w:tcPr>
            <w:tcW w:w="7192" w:type="dxa"/>
            <w:noWrap w:val="0"/>
            <w:vAlign w:val="center"/>
          </w:tcPr>
          <w:p w14:paraId="642CB7FC">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按影像所见重建，结节外轮廓</w:t>
            </w:r>
          </w:p>
        </w:tc>
      </w:tr>
      <w:tr w14:paraId="61E7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367" w:type="dxa"/>
            <w:noWrap w:val="0"/>
            <w:vAlign w:val="center"/>
          </w:tcPr>
          <w:p w14:paraId="1C6575F9">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囊肿</w:t>
            </w:r>
          </w:p>
        </w:tc>
        <w:tc>
          <w:tcPr>
            <w:tcW w:w="7192" w:type="dxa"/>
            <w:noWrap w:val="0"/>
            <w:vAlign w:val="center"/>
          </w:tcPr>
          <w:p w14:paraId="3349C6C4">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按影像所见重建，囊肿外轮廓</w:t>
            </w:r>
          </w:p>
        </w:tc>
      </w:tr>
      <w:tr w14:paraId="31CB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367" w:type="dxa"/>
            <w:noWrap w:val="0"/>
            <w:vAlign w:val="center"/>
          </w:tcPr>
          <w:p w14:paraId="4F807F38">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异常信号</w:t>
            </w:r>
          </w:p>
        </w:tc>
        <w:tc>
          <w:tcPr>
            <w:tcW w:w="7192" w:type="dxa"/>
            <w:noWrap w:val="0"/>
            <w:vAlign w:val="center"/>
          </w:tcPr>
          <w:p w14:paraId="49F3652E">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按影像所见重建，命名为异常信号</w:t>
            </w:r>
          </w:p>
        </w:tc>
      </w:tr>
      <w:tr w14:paraId="57BC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367" w:type="dxa"/>
            <w:noWrap w:val="0"/>
            <w:vAlign w:val="center"/>
          </w:tcPr>
          <w:p w14:paraId="75E49443">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息肉</w:t>
            </w:r>
          </w:p>
        </w:tc>
        <w:tc>
          <w:tcPr>
            <w:tcW w:w="7192" w:type="dxa"/>
            <w:noWrap w:val="0"/>
            <w:vAlign w:val="center"/>
          </w:tcPr>
          <w:p w14:paraId="0A8D18EF">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按影像所见重建，息肉外轮廓</w:t>
            </w:r>
          </w:p>
        </w:tc>
      </w:tr>
    </w:tbl>
    <w:p w14:paraId="128F29BF">
      <w:pPr>
        <w:pStyle w:val="41"/>
        <w:spacing w:line="360" w:lineRule="auto"/>
        <w:ind w:firstLine="480" w:firstLineChars="200"/>
        <w:rPr>
          <w:rFonts w:hint="eastAsia" w:ascii="仿宋" w:hAnsi="仿宋" w:eastAsia="仿宋" w:cs="仿宋"/>
          <w:color w:val="auto"/>
          <w:sz w:val="24"/>
          <w:highlight w:val="none"/>
        </w:rPr>
      </w:pPr>
      <w:bookmarkStart w:id="20" w:name="_Toc69030666"/>
      <w:r>
        <w:rPr>
          <w:rFonts w:hint="eastAsia" w:ascii="仿宋" w:hAnsi="仿宋" w:eastAsia="仿宋" w:cs="仿宋"/>
          <w:color w:val="auto"/>
          <w:sz w:val="24"/>
          <w:highlight w:val="none"/>
        </w:rPr>
        <w:t>6.2 三维重建说明标准</w:t>
      </w:r>
      <w:bookmarkEnd w:id="20"/>
      <w:r>
        <w:rPr>
          <w:rFonts w:hint="eastAsia" w:ascii="仿宋" w:hAnsi="仿宋" w:eastAsia="仿宋" w:cs="仿宋"/>
          <w:color w:val="auto"/>
          <w:sz w:val="24"/>
          <w:highlight w:val="none"/>
        </w:rPr>
        <w:t>，提供PDF格式的三维重建说明，内容包括：</w:t>
      </w:r>
    </w:p>
    <w:p w14:paraId="425E4FBA">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（1）患者信息（床位、住院号、影像号）、医院信息（科室）、重建单号等；</w:t>
      </w:r>
    </w:p>
    <w:p w14:paraId="399074FA">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（2）3D重建模型体积计算；</w:t>
      </w:r>
    </w:p>
    <w:p w14:paraId="2FDB9261">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（3）3D重建模型整体展示、病变与器官相关性展示、病变与动脉相关性展示、病变与静脉相关性展示等。</w:t>
      </w:r>
    </w:p>
    <w:p w14:paraId="057E816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7.泌尿外科</w:t>
      </w:r>
    </w:p>
    <w:p w14:paraId="11BD568F">
      <w:pPr>
        <w:pStyle w:val="41"/>
        <w:spacing w:line="360" w:lineRule="auto"/>
        <w:ind w:firstLine="480" w:firstLineChars="200"/>
        <w:rPr>
          <w:rFonts w:hint="eastAsia" w:ascii="仿宋" w:hAnsi="仿宋" w:eastAsia="仿宋" w:cs="仿宋"/>
          <w:color w:val="auto"/>
          <w:sz w:val="24"/>
          <w:highlight w:val="none"/>
        </w:rPr>
      </w:pPr>
      <w:bookmarkStart w:id="21" w:name="_Toc69030630"/>
      <w:r>
        <w:rPr>
          <w:rFonts w:hint="eastAsia" w:ascii="仿宋" w:hAnsi="仿宋" w:eastAsia="仿宋" w:cs="仿宋"/>
          <w:color w:val="auto"/>
          <w:sz w:val="24"/>
          <w:highlight w:val="none"/>
        </w:rPr>
        <w:t>7.1 3D模型标准</w:t>
      </w:r>
      <w:bookmarkEnd w:id="21"/>
    </w:p>
    <w:p w14:paraId="64A4F728">
      <w:pPr>
        <w:pStyle w:val="41"/>
        <w:spacing w:after="156" w:afterLines="50"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（1）器官重建标准</w:t>
      </w:r>
    </w:p>
    <w:tbl>
      <w:tblPr>
        <w:tblStyle w:val="18"/>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3"/>
        <w:gridCol w:w="7356"/>
      </w:tblGrid>
      <w:tr w14:paraId="4FC0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323" w:type="dxa"/>
            <w:noWrap w:val="0"/>
            <w:vAlign w:val="center"/>
          </w:tcPr>
          <w:p w14:paraId="19343C16">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分类</w:t>
            </w:r>
          </w:p>
        </w:tc>
        <w:tc>
          <w:tcPr>
            <w:tcW w:w="7356" w:type="dxa"/>
            <w:noWrap w:val="0"/>
            <w:vAlign w:val="center"/>
          </w:tcPr>
          <w:p w14:paraId="256DC88C">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说明</w:t>
            </w:r>
          </w:p>
        </w:tc>
      </w:tr>
      <w:tr w14:paraId="2C95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323" w:type="dxa"/>
            <w:noWrap w:val="0"/>
            <w:vAlign w:val="center"/>
          </w:tcPr>
          <w:p w14:paraId="5D2B1467">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肾脏（双侧）</w:t>
            </w:r>
          </w:p>
        </w:tc>
        <w:tc>
          <w:tcPr>
            <w:tcW w:w="7356" w:type="dxa"/>
            <w:noWrap w:val="0"/>
            <w:vAlign w:val="center"/>
          </w:tcPr>
          <w:p w14:paraId="72BBAD50">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按影像所见边界重建，需区分左右</w:t>
            </w:r>
          </w:p>
        </w:tc>
      </w:tr>
      <w:tr w14:paraId="6660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323" w:type="dxa"/>
            <w:noWrap w:val="0"/>
            <w:vAlign w:val="center"/>
          </w:tcPr>
          <w:p w14:paraId="71F9B122">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肾上腺（双侧）</w:t>
            </w:r>
          </w:p>
        </w:tc>
        <w:tc>
          <w:tcPr>
            <w:tcW w:w="7356" w:type="dxa"/>
            <w:noWrap w:val="0"/>
            <w:vAlign w:val="center"/>
          </w:tcPr>
          <w:p w14:paraId="0F90172D">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按影像所见边界重建，需区分左右</w:t>
            </w:r>
          </w:p>
        </w:tc>
      </w:tr>
      <w:tr w14:paraId="21B90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323" w:type="dxa"/>
            <w:noWrap w:val="0"/>
            <w:vAlign w:val="center"/>
          </w:tcPr>
          <w:p w14:paraId="73F20B0D">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肾盏肾盂（双侧）</w:t>
            </w:r>
          </w:p>
        </w:tc>
        <w:tc>
          <w:tcPr>
            <w:tcW w:w="7356" w:type="dxa"/>
            <w:noWrap w:val="0"/>
            <w:vAlign w:val="center"/>
          </w:tcPr>
          <w:p w14:paraId="5DA466E6">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按影像所见边界重建，若占位在肾门或更以下位置，还需重建部分输尿管，需区分左右</w:t>
            </w:r>
          </w:p>
        </w:tc>
      </w:tr>
      <w:tr w14:paraId="5A01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323" w:type="dxa"/>
            <w:noWrap w:val="0"/>
            <w:vAlign w:val="center"/>
          </w:tcPr>
          <w:p w14:paraId="7FF29C99">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膀胱</w:t>
            </w:r>
          </w:p>
        </w:tc>
        <w:tc>
          <w:tcPr>
            <w:tcW w:w="7356" w:type="dxa"/>
            <w:noWrap w:val="0"/>
            <w:vAlign w:val="center"/>
          </w:tcPr>
          <w:p w14:paraId="55A4853B">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膀胱本身按影像边界重建</w:t>
            </w:r>
          </w:p>
        </w:tc>
      </w:tr>
      <w:tr w14:paraId="20F6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323" w:type="dxa"/>
            <w:noWrap w:val="0"/>
            <w:vAlign w:val="center"/>
          </w:tcPr>
          <w:p w14:paraId="5F5B2682">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淋巴结</w:t>
            </w:r>
          </w:p>
        </w:tc>
        <w:tc>
          <w:tcPr>
            <w:tcW w:w="7356" w:type="dxa"/>
            <w:noWrap w:val="0"/>
            <w:vAlign w:val="center"/>
          </w:tcPr>
          <w:p w14:paraId="7FDE882F">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扫描范围内，短径≥5mm的淋巴结，依据影像所见边界重建</w:t>
            </w:r>
          </w:p>
        </w:tc>
      </w:tr>
      <w:tr w14:paraId="260FF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323" w:type="dxa"/>
            <w:noWrap w:val="0"/>
            <w:vAlign w:val="center"/>
          </w:tcPr>
          <w:p w14:paraId="26FFBAA0">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皮肤</w:t>
            </w:r>
          </w:p>
        </w:tc>
        <w:tc>
          <w:tcPr>
            <w:tcW w:w="7356" w:type="dxa"/>
            <w:noWrap w:val="0"/>
            <w:vAlign w:val="center"/>
          </w:tcPr>
          <w:p w14:paraId="1B118CE5">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皮肤外轮廓，重建皮肤本身</w:t>
            </w:r>
          </w:p>
        </w:tc>
      </w:tr>
      <w:tr w14:paraId="1C98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323" w:type="dxa"/>
            <w:noWrap w:val="0"/>
            <w:vAlign w:val="center"/>
          </w:tcPr>
          <w:p w14:paraId="60B96B0B">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骨骼</w:t>
            </w:r>
          </w:p>
        </w:tc>
        <w:tc>
          <w:tcPr>
            <w:tcW w:w="7356" w:type="dxa"/>
            <w:noWrap w:val="0"/>
            <w:vAlign w:val="center"/>
          </w:tcPr>
          <w:p w14:paraId="446E4D20">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扫描范围内，与病变关联较近的骨骼</w:t>
            </w:r>
          </w:p>
        </w:tc>
      </w:tr>
      <w:tr w14:paraId="03EF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323" w:type="dxa"/>
            <w:noWrap w:val="0"/>
            <w:vAlign w:val="center"/>
          </w:tcPr>
          <w:p w14:paraId="16650B07">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病变周边器官</w:t>
            </w:r>
          </w:p>
        </w:tc>
        <w:tc>
          <w:tcPr>
            <w:tcW w:w="7356" w:type="dxa"/>
            <w:noWrap w:val="0"/>
            <w:vAlign w:val="center"/>
          </w:tcPr>
          <w:p w14:paraId="7462FEF0">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扫描范围内，与病变关联较近的器官</w:t>
            </w:r>
          </w:p>
        </w:tc>
      </w:tr>
      <w:tr w14:paraId="3761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23" w:type="dxa"/>
            <w:noWrap w:val="0"/>
            <w:vAlign w:val="center"/>
          </w:tcPr>
          <w:p w14:paraId="488E9109">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病变周边肌肉</w:t>
            </w:r>
          </w:p>
        </w:tc>
        <w:tc>
          <w:tcPr>
            <w:tcW w:w="7356" w:type="dxa"/>
            <w:noWrap w:val="0"/>
            <w:vAlign w:val="center"/>
          </w:tcPr>
          <w:p w14:paraId="10392831">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扫描范围内，与病变紧贴、侵犯、包裹给予重建</w:t>
            </w:r>
          </w:p>
        </w:tc>
      </w:tr>
    </w:tbl>
    <w:p w14:paraId="64EF145E">
      <w:pPr>
        <w:pStyle w:val="41"/>
        <w:spacing w:before="156" w:beforeLines="50" w:after="156" w:afterLines="50"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（2）管道结构重建标准</w:t>
      </w:r>
    </w:p>
    <w:tbl>
      <w:tblPr>
        <w:tblStyle w:val="18"/>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6"/>
        <w:gridCol w:w="7293"/>
      </w:tblGrid>
      <w:tr w14:paraId="2D77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446" w:type="dxa"/>
            <w:noWrap w:val="0"/>
            <w:vAlign w:val="center"/>
          </w:tcPr>
          <w:p w14:paraId="51676821">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分类</w:t>
            </w:r>
          </w:p>
        </w:tc>
        <w:tc>
          <w:tcPr>
            <w:tcW w:w="7293" w:type="dxa"/>
            <w:noWrap w:val="0"/>
            <w:vAlign w:val="center"/>
          </w:tcPr>
          <w:p w14:paraId="7B8059B1">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说明</w:t>
            </w:r>
          </w:p>
        </w:tc>
      </w:tr>
      <w:tr w14:paraId="7267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2446" w:type="dxa"/>
            <w:noWrap w:val="0"/>
            <w:vAlign w:val="center"/>
          </w:tcPr>
          <w:p w14:paraId="083BAECF">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动脉</w:t>
            </w:r>
          </w:p>
        </w:tc>
        <w:tc>
          <w:tcPr>
            <w:tcW w:w="7293" w:type="dxa"/>
            <w:noWrap w:val="0"/>
            <w:vAlign w:val="center"/>
          </w:tcPr>
          <w:p w14:paraId="5FD5C5BB">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按影像所见重建，上起始自膈的主动脉裂孔处续胸主动脉下至耻骨联合，包括动脉期可辨识的腹主动脉、腹腔干、肠系膜上动脉、肾动脉（副肾动脉），动脉血管不得出现成片、成锯齿、空洞状</w:t>
            </w:r>
          </w:p>
        </w:tc>
      </w:tr>
      <w:tr w14:paraId="0910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2446" w:type="dxa"/>
            <w:noWrap w:val="0"/>
            <w:vAlign w:val="center"/>
          </w:tcPr>
          <w:p w14:paraId="7172D6D8">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静脉（下腔静脉）</w:t>
            </w:r>
          </w:p>
        </w:tc>
        <w:tc>
          <w:tcPr>
            <w:tcW w:w="7293" w:type="dxa"/>
            <w:noWrap w:val="0"/>
            <w:vAlign w:val="center"/>
          </w:tcPr>
          <w:p w14:paraId="18CE9BD5">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按影像所见重建，上起始于膈的腔静脉孔下至耻骨联合，包括静脉期可辨识的肾静脉（副肾静脉）及其属支、髂总静脉、髂内静脉、髂外静脉，生殖静脉，静脉血管不得出现成片、成锯齿、空洞状</w:t>
            </w:r>
          </w:p>
        </w:tc>
      </w:tr>
      <w:tr w14:paraId="2ED0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446" w:type="dxa"/>
            <w:noWrap w:val="0"/>
            <w:vAlign w:val="center"/>
          </w:tcPr>
          <w:p w14:paraId="06850DEF">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门静脉属支</w:t>
            </w:r>
          </w:p>
        </w:tc>
        <w:tc>
          <w:tcPr>
            <w:tcW w:w="7293" w:type="dxa"/>
            <w:noWrap w:val="0"/>
            <w:vAlign w:val="center"/>
          </w:tcPr>
          <w:p w14:paraId="5CF743F2">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与病变挤压、侵犯、紧贴需制作，门静脉属支需重建出部分脾静脉、肠系膜上静脉、肝门静脉（特殊原因除外）</w:t>
            </w:r>
          </w:p>
        </w:tc>
      </w:tr>
      <w:tr w14:paraId="1D6F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2446" w:type="dxa"/>
            <w:noWrap w:val="0"/>
            <w:vAlign w:val="center"/>
          </w:tcPr>
          <w:p w14:paraId="7A187220">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输尿管</w:t>
            </w:r>
          </w:p>
        </w:tc>
        <w:tc>
          <w:tcPr>
            <w:tcW w:w="7293" w:type="dxa"/>
            <w:noWrap w:val="0"/>
            <w:vAlign w:val="center"/>
          </w:tcPr>
          <w:p w14:paraId="71CB1878">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扫描范围内，重建肾盏肾盂输尿管，输尿管需汇入至膀胱，要区分与肾实质（即肾脏）的关系，需区分左右</w:t>
            </w:r>
          </w:p>
        </w:tc>
      </w:tr>
    </w:tbl>
    <w:p w14:paraId="39886DD1">
      <w:pPr>
        <w:pStyle w:val="41"/>
        <w:spacing w:before="156" w:beforeLines="50" w:after="156" w:afterLines="50"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（3）病变重建标准</w:t>
      </w:r>
    </w:p>
    <w:tbl>
      <w:tblPr>
        <w:tblStyle w:val="18"/>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9"/>
        <w:gridCol w:w="6660"/>
      </w:tblGrid>
      <w:tr w14:paraId="30B6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879" w:type="dxa"/>
            <w:noWrap w:val="0"/>
            <w:vAlign w:val="center"/>
          </w:tcPr>
          <w:p w14:paraId="21B4A7BC">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分类</w:t>
            </w:r>
          </w:p>
        </w:tc>
        <w:tc>
          <w:tcPr>
            <w:tcW w:w="6660" w:type="dxa"/>
            <w:noWrap w:val="0"/>
            <w:vAlign w:val="center"/>
          </w:tcPr>
          <w:p w14:paraId="1F12BB01">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说明</w:t>
            </w:r>
          </w:p>
        </w:tc>
      </w:tr>
      <w:tr w14:paraId="6978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879" w:type="dxa"/>
            <w:noWrap w:val="0"/>
            <w:vAlign w:val="center"/>
          </w:tcPr>
          <w:p w14:paraId="220D3234">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占位</w:t>
            </w:r>
          </w:p>
        </w:tc>
        <w:tc>
          <w:tcPr>
            <w:tcW w:w="6660" w:type="dxa"/>
            <w:noWrap w:val="0"/>
            <w:vAlign w:val="center"/>
          </w:tcPr>
          <w:p w14:paraId="65551310">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w:t>
            </w:r>
          </w:p>
        </w:tc>
      </w:tr>
      <w:tr w14:paraId="5596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879" w:type="dxa"/>
            <w:noWrap w:val="0"/>
            <w:vAlign w:val="center"/>
          </w:tcPr>
          <w:p w14:paraId="5C0D6A22">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癌栓</w:t>
            </w:r>
          </w:p>
        </w:tc>
        <w:tc>
          <w:tcPr>
            <w:tcW w:w="6660" w:type="dxa"/>
            <w:noWrap w:val="0"/>
            <w:vAlign w:val="center"/>
          </w:tcPr>
          <w:p w14:paraId="3E087F32">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按影像所见边界重建，血管包裹癌栓</w:t>
            </w:r>
          </w:p>
        </w:tc>
      </w:tr>
      <w:tr w14:paraId="7B65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879" w:type="dxa"/>
            <w:noWrap w:val="0"/>
            <w:vAlign w:val="center"/>
          </w:tcPr>
          <w:p w14:paraId="74E95D1C">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血栓</w:t>
            </w:r>
          </w:p>
        </w:tc>
        <w:tc>
          <w:tcPr>
            <w:tcW w:w="6660" w:type="dxa"/>
            <w:noWrap w:val="0"/>
            <w:vAlign w:val="center"/>
          </w:tcPr>
          <w:p w14:paraId="328D8C6E">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按影像所见边界重建，血管包裹血栓</w:t>
            </w:r>
          </w:p>
        </w:tc>
      </w:tr>
      <w:tr w14:paraId="44D82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879" w:type="dxa"/>
            <w:noWrap w:val="0"/>
            <w:vAlign w:val="center"/>
          </w:tcPr>
          <w:p w14:paraId="68C24DF2">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结石</w:t>
            </w:r>
          </w:p>
        </w:tc>
        <w:tc>
          <w:tcPr>
            <w:tcW w:w="6660" w:type="dxa"/>
            <w:noWrap w:val="0"/>
            <w:vAlign w:val="center"/>
          </w:tcPr>
          <w:p w14:paraId="49A08651">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按影像所见边界重建，重建结石本身，需区分左右</w:t>
            </w:r>
          </w:p>
        </w:tc>
      </w:tr>
      <w:tr w14:paraId="053A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879" w:type="dxa"/>
            <w:noWrap w:val="0"/>
            <w:vAlign w:val="center"/>
          </w:tcPr>
          <w:p w14:paraId="4F971AF9">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异常密度影（未定性）</w:t>
            </w:r>
          </w:p>
        </w:tc>
        <w:tc>
          <w:tcPr>
            <w:tcW w:w="6660" w:type="dxa"/>
            <w:noWrap w:val="0"/>
            <w:vAlign w:val="center"/>
          </w:tcPr>
          <w:p w14:paraId="13CE2571">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按影像所见边界重建，命名为“异常密度影”</w:t>
            </w:r>
          </w:p>
        </w:tc>
      </w:tr>
    </w:tbl>
    <w:p w14:paraId="7EE24DD7">
      <w:pPr>
        <w:pStyle w:val="41"/>
        <w:spacing w:before="156" w:beforeLines="50" w:line="360" w:lineRule="auto"/>
        <w:ind w:firstLine="480" w:firstLineChars="200"/>
        <w:rPr>
          <w:rFonts w:hint="eastAsia" w:ascii="仿宋" w:hAnsi="仿宋" w:eastAsia="仿宋" w:cs="仿宋"/>
          <w:color w:val="auto"/>
          <w:sz w:val="24"/>
          <w:highlight w:val="none"/>
        </w:rPr>
      </w:pPr>
      <w:bookmarkStart w:id="22" w:name="_Toc69030631"/>
      <w:r>
        <w:rPr>
          <w:rFonts w:hint="eastAsia" w:ascii="仿宋" w:hAnsi="仿宋" w:eastAsia="仿宋" w:cs="仿宋"/>
          <w:color w:val="auto"/>
          <w:sz w:val="24"/>
          <w:highlight w:val="none"/>
        </w:rPr>
        <w:t>7.2 三维重建说明标准</w:t>
      </w:r>
      <w:bookmarkEnd w:id="22"/>
      <w:r>
        <w:rPr>
          <w:rFonts w:hint="eastAsia" w:ascii="仿宋" w:hAnsi="仿宋" w:eastAsia="仿宋" w:cs="仿宋"/>
          <w:color w:val="auto"/>
          <w:sz w:val="24"/>
          <w:highlight w:val="none"/>
        </w:rPr>
        <w:t>，提供PDF格式的三维重建说明，内容包括</w:t>
      </w:r>
    </w:p>
    <w:p w14:paraId="7122F1F8">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（1）患者信息（床位、住院号、影像号）、医院信息（科室）、重建单号等；</w:t>
      </w:r>
    </w:p>
    <w:p w14:paraId="660525CD">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（2）3D重建模型体积计算；</w:t>
      </w:r>
    </w:p>
    <w:p w14:paraId="36FD3E33">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（3）3D重建模型整体展示、病变与器官相关性展示、病变与动脉相关性展示、病变与静脉相关性展示、淋巴结分布展示等。</w:t>
      </w:r>
    </w:p>
    <w:p w14:paraId="4317431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8.胃肠外科</w:t>
      </w:r>
    </w:p>
    <w:p w14:paraId="434A3F51">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 3D模型标准</w:t>
      </w:r>
    </w:p>
    <w:p w14:paraId="17E05554">
      <w:pPr>
        <w:pStyle w:val="41"/>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（1）器官重建标准</w:t>
      </w:r>
    </w:p>
    <w:tbl>
      <w:tblPr>
        <w:tblStyle w:val="18"/>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7391"/>
      </w:tblGrid>
      <w:tr w14:paraId="64C8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048" w:type="dxa"/>
            <w:noWrap w:val="0"/>
            <w:vAlign w:val="center"/>
          </w:tcPr>
          <w:p w14:paraId="2BF41756">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分类</w:t>
            </w:r>
          </w:p>
        </w:tc>
        <w:tc>
          <w:tcPr>
            <w:tcW w:w="7391" w:type="dxa"/>
            <w:noWrap w:val="0"/>
            <w:vAlign w:val="center"/>
          </w:tcPr>
          <w:p w14:paraId="77F8D59E">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说明</w:t>
            </w:r>
          </w:p>
        </w:tc>
      </w:tr>
      <w:tr w14:paraId="6A2A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048" w:type="dxa"/>
            <w:noWrap w:val="0"/>
            <w:vAlign w:val="bottom"/>
          </w:tcPr>
          <w:p w14:paraId="66CE36AF">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食管</w:t>
            </w:r>
          </w:p>
        </w:tc>
        <w:tc>
          <w:tcPr>
            <w:tcW w:w="7391" w:type="dxa"/>
            <w:noWrap w:val="0"/>
            <w:vAlign w:val="center"/>
          </w:tcPr>
          <w:p w14:paraId="01056278">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按影像所见边界重建，全部食管</w:t>
            </w:r>
          </w:p>
        </w:tc>
      </w:tr>
      <w:tr w14:paraId="1EC5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048" w:type="dxa"/>
            <w:noWrap w:val="0"/>
            <w:vAlign w:val="bottom"/>
          </w:tcPr>
          <w:p w14:paraId="5AB98382">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胃</w:t>
            </w:r>
          </w:p>
        </w:tc>
        <w:tc>
          <w:tcPr>
            <w:tcW w:w="7391" w:type="dxa"/>
            <w:noWrap w:val="0"/>
            <w:vAlign w:val="center"/>
          </w:tcPr>
          <w:p w14:paraId="574D0CAF">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按影像所见边界重建，全部胃，包括胃内病变</w:t>
            </w:r>
          </w:p>
        </w:tc>
      </w:tr>
      <w:tr w14:paraId="0154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048" w:type="dxa"/>
            <w:noWrap w:val="0"/>
            <w:vAlign w:val="center"/>
          </w:tcPr>
          <w:p w14:paraId="09BC1A64">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十二指肠</w:t>
            </w:r>
          </w:p>
        </w:tc>
        <w:tc>
          <w:tcPr>
            <w:tcW w:w="7391" w:type="dxa"/>
            <w:noWrap w:val="0"/>
            <w:vAlign w:val="center"/>
          </w:tcPr>
          <w:p w14:paraId="30403210">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按影像所见边界重建，全部十二指肠，包括十二指肠内占位</w:t>
            </w:r>
          </w:p>
        </w:tc>
      </w:tr>
      <w:tr w14:paraId="26DF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048" w:type="dxa"/>
            <w:noWrap w:val="0"/>
            <w:vAlign w:val="center"/>
          </w:tcPr>
          <w:p w14:paraId="37461C35">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结肠</w:t>
            </w:r>
          </w:p>
        </w:tc>
        <w:tc>
          <w:tcPr>
            <w:tcW w:w="7391" w:type="dxa"/>
            <w:noWrap w:val="0"/>
            <w:vAlign w:val="center"/>
          </w:tcPr>
          <w:p w14:paraId="2FDBF4AB">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按影像所见边界重建，结肠本身</w:t>
            </w:r>
          </w:p>
        </w:tc>
      </w:tr>
      <w:tr w14:paraId="1E0A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048" w:type="dxa"/>
            <w:noWrap w:val="0"/>
            <w:vAlign w:val="bottom"/>
          </w:tcPr>
          <w:p w14:paraId="0DA1620D">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皮肤</w:t>
            </w:r>
          </w:p>
        </w:tc>
        <w:tc>
          <w:tcPr>
            <w:tcW w:w="7391" w:type="dxa"/>
            <w:noWrap w:val="0"/>
            <w:vAlign w:val="center"/>
          </w:tcPr>
          <w:p w14:paraId="33BF23EC">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按影像所见边界重建，皮肤外轮廓</w:t>
            </w:r>
          </w:p>
        </w:tc>
      </w:tr>
      <w:tr w14:paraId="2760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048" w:type="dxa"/>
            <w:noWrap w:val="0"/>
            <w:vAlign w:val="bottom"/>
          </w:tcPr>
          <w:p w14:paraId="14E8CA1B">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骨骼</w:t>
            </w:r>
          </w:p>
        </w:tc>
        <w:tc>
          <w:tcPr>
            <w:tcW w:w="7391" w:type="dxa"/>
            <w:noWrap w:val="0"/>
            <w:vAlign w:val="center"/>
          </w:tcPr>
          <w:p w14:paraId="4E6EB5D4">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按影像所见边界重建，与病变关联较近的骨骼</w:t>
            </w:r>
          </w:p>
        </w:tc>
      </w:tr>
      <w:tr w14:paraId="3F9E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048" w:type="dxa"/>
            <w:noWrap w:val="0"/>
            <w:vAlign w:val="bottom"/>
          </w:tcPr>
          <w:p w14:paraId="78C15A35">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病变周边肌肉</w:t>
            </w:r>
          </w:p>
        </w:tc>
        <w:tc>
          <w:tcPr>
            <w:tcW w:w="7391" w:type="dxa"/>
            <w:noWrap w:val="0"/>
            <w:vAlign w:val="center"/>
          </w:tcPr>
          <w:p w14:paraId="20DC0FF0">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制作与病变挤压、侵犯、紧贴部分</w:t>
            </w:r>
          </w:p>
        </w:tc>
      </w:tr>
      <w:tr w14:paraId="467E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048" w:type="dxa"/>
            <w:noWrap w:val="0"/>
            <w:vAlign w:val="center"/>
          </w:tcPr>
          <w:p w14:paraId="0D0B792A">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病变周边器官</w:t>
            </w:r>
          </w:p>
        </w:tc>
        <w:tc>
          <w:tcPr>
            <w:tcW w:w="7391" w:type="dxa"/>
            <w:noWrap w:val="0"/>
            <w:vAlign w:val="center"/>
          </w:tcPr>
          <w:p w14:paraId="65DADF77">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扫描范围内，与病变关联较近的器官</w:t>
            </w:r>
          </w:p>
        </w:tc>
      </w:tr>
      <w:tr w14:paraId="4BDD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048" w:type="dxa"/>
            <w:noWrap w:val="0"/>
            <w:vAlign w:val="center"/>
          </w:tcPr>
          <w:p w14:paraId="6AC875C9">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淋巴结</w:t>
            </w:r>
          </w:p>
        </w:tc>
        <w:tc>
          <w:tcPr>
            <w:tcW w:w="7391" w:type="dxa"/>
            <w:noWrap w:val="0"/>
            <w:vAlign w:val="center"/>
          </w:tcPr>
          <w:p w14:paraId="5622204F">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按影像所见边界重建，扫描范围内短径≥5mm的淋巴结</w:t>
            </w:r>
          </w:p>
        </w:tc>
      </w:tr>
    </w:tbl>
    <w:p w14:paraId="2102AA36">
      <w:pPr>
        <w:pStyle w:val="41"/>
        <w:spacing w:before="156" w:beforeLines="50" w:after="156" w:afterLines="50"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（2）血管重建标准</w:t>
      </w:r>
    </w:p>
    <w:tbl>
      <w:tblPr>
        <w:tblStyle w:val="18"/>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7739"/>
      </w:tblGrid>
      <w:tr w14:paraId="6471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920" w:type="dxa"/>
            <w:noWrap w:val="0"/>
            <w:vAlign w:val="center"/>
          </w:tcPr>
          <w:p w14:paraId="5A68405C">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分类</w:t>
            </w:r>
          </w:p>
        </w:tc>
        <w:tc>
          <w:tcPr>
            <w:tcW w:w="7739" w:type="dxa"/>
            <w:noWrap w:val="0"/>
            <w:vAlign w:val="center"/>
          </w:tcPr>
          <w:p w14:paraId="03B342FF">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说明</w:t>
            </w:r>
          </w:p>
        </w:tc>
      </w:tr>
      <w:tr w14:paraId="5DE0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920" w:type="dxa"/>
            <w:noWrap w:val="0"/>
            <w:vAlign w:val="center"/>
          </w:tcPr>
          <w:p w14:paraId="2BDC97AE">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动脉</w:t>
            </w:r>
          </w:p>
        </w:tc>
        <w:tc>
          <w:tcPr>
            <w:tcW w:w="7739" w:type="dxa"/>
            <w:noWrap w:val="0"/>
            <w:vAlign w:val="center"/>
          </w:tcPr>
          <w:p w14:paraId="5D917446">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按影像所见重建，动脉血管不得出现成片、成锯齿、空洞状</w:t>
            </w:r>
          </w:p>
        </w:tc>
      </w:tr>
      <w:tr w14:paraId="183B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920" w:type="dxa"/>
            <w:noWrap w:val="0"/>
            <w:vAlign w:val="center"/>
          </w:tcPr>
          <w:p w14:paraId="4A431AAE">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静脉</w:t>
            </w:r>
          </w:p>
        </w:tc>
        <w:tc>
          <w:tcPr>
            <w:tcW w:w="7739" w:type="dxa"/>
            <w:noWrap w:val="0"/>
            <w:vAlign w:val="center"/>
          </w:tcPr>
          <w:p w14:paraId="191B7009">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按影像所见重建，静脉血管不得出现成片、成锯齿、空洞状</w:t>
            </w:r>
          </w:p>
        </w:tc>
      </w:tr>
      <w:tr w14:paraId="168E8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920" w:type="dxa"/>
            <w:noWrap w:val="0"/>
            <w:vAlign w:val="center"/>
          </w:tcPr>
          <w:p w14:paraId="2D624925">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门静脉</w:t>
            </w:r>
          </w:p>
        </w:tc>
        <w:tc>
          <w:tcPr>
            <w:tcW w:w="7739" w:type="dxa"/>
            <w:noWrap w:val="0"/>
            <w:vAlign w:val="center"/>
          </w:tcPr>
          <w:p w14:paraId="09396AAD">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按影像所见重建，门静脉血管不得出现成片、成锯齿、空洞状</w:t>
            </w:r>
          </w:p>
        </w:tc>
      </w:tr>
    </w:tbl>
    <w:p w14:paraId="7C9DA49C">
      <w:pPr>
        <w:pStyle w:val="41"/>
        <w:spacing w:before="156" w:beforeLines="50" w:after="156" w:afterLines="50"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（3）病变重建标准</w:t>
      </w:r>
    </w:p>
    <w:tbl>
      <w:tblPr>
        <w:tblStyle w:val="18"/>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8"/>
        <w:gridCol w:w="6751"/>
      </w:tblGrid>
      <w:tr w14:paraId="5664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148" w:type="dxa"/>
            <w:noWrap w:val="0"/>
            <w:vAlign w:val="center"/>
          </w:tcPr>
          <w:p w14:paraId="7B9A70C7">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分类</w:t>
            </w:r>
          </w:p>
        </w:tc>
        <w:tc>
          <w:tcPr>
            <w:tcW w:w="6751" w:type="dxa"/>
            <w:noWrap w:val="0"/>
            <w:vAlign w:val="center"/>
          </w:tcPr>
          <w:p w14:paraId="748DC956">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说明</w:t>
            </w:r>
          </w:p>
        </w:tc>
      </w:tr>
      <w:tr w14:paraId="5122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148" w:type="dxa"/>
            <w:noWrap w:val="0"/>
            <w:vAlign w:val="center"/>
          </w:tcPr>
          <w:p w14:paraId="2EB067F1">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占位</w:t>
            </w:r>
          </w:p>
        </w:tc>
        <w:tc>
          <w:tcPr>
            <w:tcW w:w="6751" w:type="dxa"/>
            <w:noWrap w:val="0"/>
            <w:vAlign w:val="center"/>
          </w:tcPr>
          <w:p w14:paraId="1B3C3B32">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按影像所见边界重建，占位本身</w:t>
            </w:r>
          </w:p>
        </w:tc>
      </w:tr>
      <w:tr w14:paraId="0AE4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148" w:type="dxa"/>
            <w:noWrap w:val="0"/>
            <w:vAlign w:val="center"/>
          </w:tcPr>
          <w:p w14:paraId="593F3C6E">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钙化</w:t>
            </w:r>
          </w:p>
        </w:tc>
        <w:tc>
          <w:tcPr>
            <w:tcW w:w="6751" w:type="dxa"/>
            <w:noWrap w:val="0"/>
            <w:vAlign w:val="center"/>
          </w:tcPr>
          <w:p w14:paraId="7780338B">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按影像所见边界重建，钙化本身</w:t>
            </w:r>
          </w:p>
        </w:tc>
      </w:tr>
      <w:tr w14:paraId="389D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148" w:type="dxa"/>
            <w:noWrap w:val="0"/>
            <w:vAlign w:val="center"/>
          </w:tcPr>
          <w:p w14:paraId="2AF3DCFA">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异常密度影（未定性）</w:t>
            </w:r>
          </w:p>
        </w:tc>
        <w:tc>
          <w:tcPr>
            <w:tcW w:w="6751" w:type="dxa"/>
            <w:noWrap w:val="0"/>
            <w:vAlign w:val="center"/>
          </w:tcPr>
          <w:p w14:paraId="3B8A0931">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按影像所见边界重建，命名为异常密度影</w:t>
            </w:r>
          </w:p>
        </w:tc>
      </w:tr>
      <w:tr w14:paraId="0E3B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148" w:type="dxa"/>
            <w:noWrap w:val="0"/>
            <w:vAlign w:val="center"/>
          </w:tcPr>
          <w:p w14:paraId="0D310826">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异常信号灶（未定性）</w:t>
            </w:r>
          </w:p>
        </w:tc>
        <w:tc>
          <w:tcPr>
            <w:tcW w:w="6751" w:type="dxa"/>
            <w:noWrap w:val="0"/>
            <w:vAlign w:val="center"/>
          </w:tcPr>
          <w:p w14:paraId="2DD77CA0">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按影像所见边界重建，命名为异常信号灶</w:t>
            </w:r>
          </w:p>
        </w:tc>
      </w:tr>
    </w:tbl>
    <w:p w14:paraId="6E267B79">
      <w:pPr>
        <w:pStyle w:val="41"/>
        <w:spacing w:before="156" w:beforeLines="50" w:line="360" w:lineRule="auto"/>
        <w:ind w:firstLine="480" w:firstLineChars="200"/>
        <w:rPr>
          <w:rFonts w:hint="eastAsia" w:ascii="仿宋" w:hAnsi="仿宋" w:eastAsia="仿宋" w:cs="仿宋"/>
          <w:color w:val="auto"/>
          <w:sz w:val="24"/>
          <w:highlight w:val="none"/>
        </w:rPr>
      </w:pPr>
      <w:bookmarkStart w:id="23" w:name="_Toc69030657"/>
      <w:r>
        <w:rPr>
          <w:rFonts w:hint="eastAsia" w:ascii="仿宋" w:hAnsi="仿宋" w:eastAsia="仿宋" w:cs="仿宋"/>
          <w:color w:val="auto"/>
          <w:sz w:val="24"/>
          <w:highlight w:val="none"/>
        </w:rPr>
        <w:t>8.2 三维重建说明标准</w:t>
      </w:r>
      <w:bookmarkEnd w:id="23"/>
      <w:r>
        <w:rPr>
          <w:rFonts w:hint="eastAsia" w:ascii="仿宋" w:hAnsi="仿宋" w:eastAsia="仿宋" w:cs="仿宋"/>
          <w:color w:val="auto"/>
          <w:sz w:val="24"/>
          <w:highlight w:val="none"/>
        </w:rPr>
        <w:t>提供PDF格式的三维重建说明，内容包括</w:t>
      </w:r>
    </w:p>
    <w:p w14:paraId="7E012E8F">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（1）患者信息（床位、住院号、影像号）、医院信息（科室）、重建单号等；</w:t>
      </w:r>
    </w:p>
    <w:p w14:paraId="455BE88E">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（2）3D重建模型体积计算；</w:t>
      </w:r>
    </w:p>
    <w:p w14:paraId="508C7996">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（3）3D重建模型整体展示、病变与器官相关性展示、病变与动脉相关性展示、病变与静脉相关性展示等。</w:t>
      </w:r>
    </w:p>
    <w:p w14:paraId="41977F01">
      <w:pPr>
        <w:pStyle w:val="41"/>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9.心外科</w:t>
      </w:r>
    </w:p>
    <w:p w14:paraId="27C2A940">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9.1 3D模型标准</w:t>
      </w:r>
    </w:p>
    <w:p w14:paraId="037A182F">
      <w:pPr>
        <w:pStyle w:val="41"/>
        <w:spacing w:after="156" w:afterLines="50"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（1）器官重建标准</w:t>
      </w:r>
    </w:p>
    <w:tbl>
      <w:tblPr>
        <w:tblStyle w:val="18"/>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7008"/>
      </w:tblGrid>
      <w:tr w14:paraId="6352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748" w:type="dxa"/>
            <w:noWrap w:val="0"/>
            <w:vAlign w:val="center"/>
          </w:tcPr>
          <w:p w14:paraId="639E94EE">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分类</w:t>
            </w:r>
          </w:p>
        </w:tc>
        <w:tc>
          <w:tcPr>
            <w:tcW w:w="7008" w:type="dxa"/>
            <w:noWrap w:val="0"/>
            <w:vAlign w:val="center"/>
          </w:tcPr>
          <w:p w14:paraId="5F45E4B1">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说明</w:t>
            </w:r>
          </w:p>
        </w:tc>
      </w:tr>
      <w:tr w14:paraId="542D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748" w:type="dxa"/>
            <w:noWrap w:val="0"/>
            <w:vAlign w:val="center"/>
          </w:tcPr>
          <w:p w14:paraId="64E37C76">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心脏</w:t>
            </w:r>
          </w:p>
        </w:tc>
        <w:tc>
          <w:tcPr>
            <w:tcW w:w="7008" w:type="dxa"/>
            <w:noWrap w:val="0"/>
            <w:vAlign w:val="center"/>
          </w:tcPr>
          <w:p w14:paraId="76497E13">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按影像所见边界重建，整个心脏外轮廓</w:t>
            </w:r>
          </w:p>
        </w:tc>
      </w:tr>
      <w:tr w14:paraId="3B3B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748" w:type="dxa"/>
            <w:noWrap w:val="0"/>
            <w:vAlign w:val="center"/>
          </w:tcPr>
          <w:p w14:paraId="642903B7">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心室</w:t>
            </w:r>
          </w:p>
        </w:tc>
        <w:tc>
          <w:tcPr>
            <w:tcW w:w="7008" w:type="dxa"/>
            <w:noWrap w:val="0"/>
            <w:vAlign w:val="center"/>
          </w:tcPr>
          <w:p w14:paraId="5E207D8A">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按影像所见边界重建，整个心室外轮廓</w:t>
            </w:r>
          </w:p>
        </w:tc>
      </w:tr>
      <w:tr w14:paraId="0BC5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748" w:type="dxa"/>
            <w:noWrap w:val="0"/>
            <w:vAlign w:val="center"/>
          </w:tcPr>
          <w:p w14:paraId="6BDD0F2F">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心房</w:t>
            </w:r>
          </w:p>
        </w:tc>
        <w:tc>
          <w:tcPr>
            <w:tcW w:w="7008" w:type="dxa"/>
            <w:noWrap w:val="0"/>
            <w:vAlign w:val="center"/>
          </w:tcPr>
          <w:p w14:paraId="3227592A">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按影像所见边界重建，整个心房外轮廓</w:t>
            </w:r>
          </w:p>
        </w:tc>
      </w:tr>
      <w:tr w14:paraId="31C4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748" w:type="dxa"/>
            <w:noWrap w:val="0"/>
            <w:vAlign w:val="center"/>
          </w:tcPr>
          <w:p w14:paraId="5AE40A8A">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皮肤</w:t>
            </w:r>
          </w:p>
        </w:tc>
        <w:tc>
          <w:tcPr>
            <w:tcW w:w="7008" w:type="dxa"/>
            <w:noWrap w:val="0"/>
            <w:vAlign w:val="center"/>
          </w:tcPr>
          <w:p w14:paraId="505D6634">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按影像所见边界重建，皮肤外轮廓</w:t>
            </w:r>
          </w:p>
        </w:tc>
      </w:tr>
      <w:tr w14:paraId="4E0F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748" w:type="dxa"/>
            <w:noWrap w:val="0"/>
            <w:vAlign w:val="center"/>
          </w:tcPr>
          <w:p w14:paraId="35E17F04">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病变周边器官</w:t>
            </w:r>
          </w:p>
        </w:tc>
        <w:tc>
          <w:tcPr>
            <w:tcW w:w="7008" w:type="dxa"/>
            <w:noWrap w:val="0"/>
            <w:vAlign w:val="center"/>
          </w:tcPr>
          <w:p w14:paraId="32FADC74">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扫描范围内，与病变关联较近的器官</w:t>
            </w:r>
          </w:p>
        </w:tc>
      </w:tr>
    </w:tbl>
    <w:p w14:paraId="2AE7EC55">
      <w:pPr>
        <w:pStyle w:val="41"/>
        <w:spacing w:before="156" w:beforeLines="50" w:after="156" w:afterLines="50"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（2）血管重建标准</w:t>
      </w:r>
    </w:p>
    <w:tbl>
      <w:tblPr>
        <w:tblStyle w:val="18"/>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8057"/>
      </w:tblGrid>
      <w:tr w14:paraId="7385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75" w:type="dxa"/>
            <w:noWrap w:val="0"/>
            <w:vAlign w:val="center"/>
          </w:tcPr>
          <w:p w14:paraId="2E171F2E">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分类</w:t>
            </w:r>
          </w:p>
        </w:tc>
        <w:tc>
          <w:tcPr>
            <w:tcW w:w="8057" w:type="dxa"/>
            <w:noWrap w:val="0"/>
            <w:vAlign w:val="center"/>
          </w:tcPr>
          <w:p w14:paraId="1BEB1D41">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说明</w:t>
            </w:r>
          </w:p>
        </w:tc>
      </w:tr>
      <w:tr w14:paraId="4302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75" w:type="dxa"/>
            <w:noWrap w:val="0"/>
            <w:vAlign w:val="center"/>
          </w:tcPr>
          <w:p w14:paraId="4BC71CFD">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升主动脉</w:t>
            </w:r>
          </w:p>
        </w:tc>
        <w:tc>
          <w:tcPr>
            <w:tcW w:w="8057" w:type="dxa"/>
            <w:noWrap w:val="0"/>
            <w:vAlign w:val="center"/>
          </w:tcPr>
          <w:p w14:paraId="75702512">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按影像所见重建，升主动脉血管不得出现成片、成锯齿、空洞状</w:t>
            </w:r>
          </w:p>
        </w:tc>
      </w:tr>
      <w:tr w14:paraId="3733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75" w:type="dxa"/>
            <w:noWrap w:val="0"/>
            <w:vAlign w:val="center"/>
          </w:tcPr>
          <w:p w14:paraId="2B21144F">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主动脉弓</w:t>
            </w:r>
          </w:p>
        </w:tc>
        <w:tc>
          <w:tcPr>
            <w:tcW w:w="8057" w:type="dxa"/>
            <w:noWrap w:val="0"/>
            <w:vAlign w:val="center"/>
          </w:tcPr>
          <w:p w14:paraId="1271F0E6">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按影像所见重建，主动脉弓不得出现成片、成锯齿、空洞状</w:t>
            </w:r>
          </w:p>
        </w:tc>
      </w:tr>
      <w:tr w14:paraId="292D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75" w:type="dxa"/>
            <w:noWrap w:val="0"/>
            <w:vAlign w:val="center"/>
          </w:tcPr>
          <w:p w14:paraId="1F29AA0F">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冠状动脉</w:t>
            </w:r>
          </w:p>
        </w:tc>
        <w:tc>
          <w:tcPr>
            <w:tcW w:w="8057" w:type="dxa"/>
            <w:noWrap w:val="0"/>
            <w:vAlign w:val="center"/>
          </w:tcPr>
          <w:p w14:paraId="2BB215EE">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按影像所见重建，冠状动脉不得出现成片、成锯齿、空洞状</w:t>
            </w:r>
          </w:p>
        </w:tc>
      </w:tr>
    </w:tbl>
    <w:p w14:paraId="2E08A85D">
      <w:pPr>
        <w:pStyle w:val="41"/>
        <w:spacing w:before="156" w:beforeLines="50" w:after="156" w:afterLines="50"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（3）病变重建标准</w:t>
      </w:r>
    </w:p>
    <w:tbl>
      <w:tblPr>
        <w:tblStyle w:val="18"/>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7"/>
        <w:gridCol w:w="7132"/>
      </w:tblGrid>
      <w:tr w14:paraId="1226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567" w:type="dxa"/>
            <w:noWrap w:val="0"/>
            <w:vAlign w:val="center"/>
          </w:tcPr>
          <w:p w14:paraId="72DCED71">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分类</w:t>
            </w:r>
          </w:p>
        </w:tc>
        <w:tc>
          <w:tcPr>
            <w:tcW w:w="7132" w:type="dxa"/>
            <w:noWrap w:val="0"/>
            <w:vAlign w:val="center"/>
          </w:tcPr>
          <w:p w14:paraId="3CCA8F7F">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说明</w:t>
            </w:r>
          </w:p>
        </w:tc>
      </w:tr>
      <w:tr w14:paraId="4A26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567" w:type="dxa"/>
            <w:noWrap w:val="0"/>
            <w:vAlign w:val="center"/>
          </w:tcPr>
          <w:p w14:paraId="5F182910">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占位</w:t>
            </w:r>
          </w:p>
        </w:tc>
        <w:tc>
          <w:tcPr>
            <w:tcW w:w="7132" w:type="dxa"/>
            <w:noWrap w:val="0"/>
            <w:vAlign w:val="center"/>
          </w:tcPr>
          <w:p w14:paraId="71837B38">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w:t>
            </w:r>
          </w:p>
        </w:tc>
      </w:tr>
    </w:tbl>
    <w:p w14:paraId="5C93590F">
      <w:pPr>
        <w:pStyle w:val="41"/>
        <w:spacing w:line="360" w:lineRule="auto"/>
        <w:ind w:firstLine="480" w:firstLineChars="200"/>
        <w:rPr>
          <w:rFonts w:hint="eastAsia" w:ascii="仿宋" w:hAnsi="仿宋" w:eastAsia="仿宋" w:cs="仿宋"/>
          <w:color w:val="auto"/>
          <w:sz w:val="24"/>
          <w:highlight w:val="none"/>
        </w:rPr>
      </w:pPr>
      <w:bookmarkStart w:id="24" w:name="_Toc69030663"/>
      <w:r>
        <w:rPr>
          <w:rFonts w:hint="eastAsia" w:ascii="仿宋" w:hAnsi="仿宋" w:eastAsia="仿宋" w:cs="仿宋"/>
          <w:color w:val="auto"/>
          <w:sz w:val="24"/>
          <w:highlight w:val="none"/>
        </w:rPr>
        <w:t>9.2 三维重建说明标准</w:t>
      </w:r>
      <w:bookmarkEnd w:id="24"/>
      <w:r>
        <w:rPr>
          <w:rFonts w:hint="eastAsia" w:ascii="仿宋" w:hAnsi="仿宋" w:eastAsia="仿宋" w:cs="仿宋"/>
          <w:color w:val="auto"/>
          <w:sz w:val="24"/>
          <w:highlight w:val="none"/>
        </w:rPr>
        <w:t>提供PDF格式的三维重建说明，内容包括</w:t>
      </w:r>
    </w:p>
    <w:p w14:paraId="5EDE219A">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（1）患者信息（床位、住院号、影像号）、医院信息（科室）、重建单号等；</w:t>
      </w:r>
    </w:p>
    <w:p w14:paraId="113BCC33">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（2）3D重建模型体积计算；</w:t>
      </w:r>
    </w:p>
    <w:p w14:paraId="14911E30">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（3）3D重建模型整体展示、病变与器官相关性展示、病变与动脉相关性展示等。</w:t>
      </w:r>
    </w:p>
    <w:p w14:paraId="341C300B">
      <w:pPr>
        <w:pStyle w:val="41"/>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10.骨外科</w:t>
      </w:r>
    </w:p>
    <w:p w14:paraId="3B30DF51">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 3D模型标准</w:t>
      </w:r>
    </w:p>
    <w:p w14:paraId="4C3CDF89">
      <w:pPr>
        <w:pStyle w:val="41"/>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（1）器官重建标准</w:t>
      </w:r>
    </w:p>
    <w:tbl>
      <w:tblPr>
        <w:tblStyle w:val="18"/>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6976"/>
      </w:tblGrid>
      <w:tr w14:paraId="6F40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jc w:val="center"/>
        </w:trPr>
        <w:tc>
          <w:tcPr>
            <w:tcW w:w="2543" w:type="dxa"/>
            <w:noWrap w:val="0"/>
            <w:vAlign w:val="center"/>
          </w:tcPr>
          <w:p w14:paraId="3C339EF5">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分类</w:t>
            </w:r>
          </w:p>
        </w:tc>
        <w:tc>
          <w:tcPr>
            <w:tcW w:w="6976" w:type="dxa"/>
            <w:noWrap w:val="0"/>
            <w:vAlign w:val="center"/>
          </w:tcPr>
          <w:p w14:paraId="7F43DDC6">
            <w:pPr>
              <w:pStyle w:val="41"/>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说明</w:t>
            </w:r>
          </w:p>
        </w:tc>
      </w:tr>
      <w:tr w14:paraId="3450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543" w:type="dxa"/>
            <w:noWrap w:val="0"/>
            <w:vAlign w:val="center"/>
          </w:tcPr>
          <w:p w14:paraId="429F8153">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皮肤</w:t>
            </w:r>
          </w:p>
        </w:tc>
        <w:tc>
          <w:tcPr>
            <w:tcW w:w="6976" w:type="dxa"/>
            <w:noWrap w:val="0"/>
            <w:vAlign w:val="center"/>
          </w:tcPr>
          <w:p w14:paraId="1C354531">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扫描范围内根据病变位置分部位完整重建</w:t>
            </w:r>
          </w:p>
        </w:tc>
      </w:tr>
      <w:tr w14:paraId="3B0C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543" w:type="dxa"/>
            <w:noWrap w:val="0"/>
            <w:vAlign w:val="center"/>
          </w:tcPr>
          <w:p w14:paraId="5A811286">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骨骼</w:t>
            </w:r>
          </w:p>
        </w:tc>
        <w:tc>
          <w:tcPr>
            <w:tcW w:w="6976" w:type="dxa"/>
            <w:noWrap w:val="0"/>
            <w:vAlign w:val="center"/>
          </w:tcPr>
          <w:p w14:paraId="66CD9D61">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扫描范围内根据病变位置分部位完整重建</w:t>
            </w:r>
          </w:p>
        </w:tc>
      </w:tr>
      <w:tr w14:paraId="3991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543" w:type="dxa"/>
            <w:noWrap w:val="0"/>
            <w:vAlign w:val="center"/>
          </w:tcPr>
          <w:p w14:paraId="15CC4BE9">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动脉</w:t>
            </w:r>
          </w:p>
        </w:tc>
        <w:tc>
          <w:tcPr>
            <w:tcW w:w="6976" w:type="dxa"/>
            <w:noWrap w:val="0"/>
            <w:vAlign w:val="center"/>
          </w:tcPr>
          <w:p w14:paraId="073A12A3">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按影像可见重建病变相关的动脉</w:t>
            </w:r>
          </w:p>
        </w:tc>
      </w:tr>
      <w:tr w14:paraId="38A0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jc w:val="center"/>
        </w:trPr>
        <w:tc>
          <w:tcPr>
            <w:tcW w:w="2543" w:type="dxa"/>
            <w:noWrap w:val="0"/>
            <w:vAlign w:val="center"/>
          </w:tcPr>
          <w:p w14:paraId="4217D083">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静脉</w:t>
            </w:r>
          </w:p>
        </w:tc>
        <w:tc>
          <w:tcPr>
            <w:tcW w:w="6976" w:type="dxa"/>
            <w:noWrap w:val="0"/>
            <w:vAlign w:val="center"/>
          </w:tcPr>
          <w:p w14:paraId="429FD85E">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按影像可见重建病变相关的静脉</w:t>
            </w:r>
          </w:p>
        </w:tc>
      </w:tr>
      <w:tr w14:paraId="40E4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543" w:type="dxa"/>
            <w:noWrap w:val="0"/>
            <w:vAlign w:val="center"/>
          </w:tcPr>
          <w:p w14:paraId="6F5AC791">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淋巴结</w:t>
            </w:r>
          </w:p>
        </w:tc>
        <w:tc>
          <w:tcPr>
            <w:tcW w:w="6976" w:type="dxa"/>
            <w:noWrap w:val="0"/>
            <w:vAlign w:val="center"/>
          </w:tcPr>
          <w:p w14:paraId="46D12162">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按影像所见边界重建，扫描范围内短径≥5mm的淋巴结</w:t>
            </w:r>
          </w:p>
        </w:tc>
      </w:tr>
      <w:tr w14:paraId="019B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543" w:type="dxa"/>
            <w:noWrap w:val="0"/>
            <w:vAlign w:val="center"/>
          </w:tcPr>
          <w:p w14:paraId="62C103DB">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占位</w:t>
            </w:r>
          </w:p>
        </w:tc>
        <w:tc>
          <w:tcPr>
            <w:tcW w:w="6976" w:type="dxa"/>
            <w:noWrap w:val="0"/>
            <w:vAlign w:val="center"/>
          </w:tcPr>
          <w:p w14:paraId="2AD3DAC0">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占位定位及体积估算（不提供良、恶性评估）</w:t>
            </w:r>
          </w:p>
        </w:tc>
      </w:tr>
      <w:tr w14:paraId="75C1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543" w:type="dxa"/>
            <w:noWrap w:val="0"/>
            <w:vAlign w:val="center"/>
          </w:tcPr>
          <w:p w14:paraId="66BBA037">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病变周边器官</w:t>
            </w:r>
          </w:p>
        </w:tc>
        <w:tc>
          <w:tcPr>
            <w:tcW w:w="6976" w:type="dxa"/>
            <w:noWrap w:val="0"/>
            <w:vAlign w:val="center"/>
          </w:tcPr>
          <w:p w14:paraId="10FDF625">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扫描范围内，与病变关联较近的器官</w:t>
            </w:r>
          </w:p>
        </w:tc>
      </w:tr>
      <w:tr w14:paraId="2CC7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543" w:type="dxa"/>
            <w:noWrap w:val="0"/>
            <w:vAlign w:val="center"/>
          </w:tcPr>
          <w:p w14:paraId="39EF0D92">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病变周边肌肉</w:t>
            </w:r>
          </w:p>
        </w:tc>
        <w:tc>
          <w:tcPr>
            <w:tcW w:w="6976" w:type="dxa"/>
            <w:noWrap w:val="0"/>
            <w:vAlign w:val="center"/>
          </w:tcPr>
          <w:p w14:paraId="1BC9016F">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制作与病变挤压、侵犯、紧贴部分</w:t>
            </w:r>
          </w:p>
        </w:tc>
      </w:tr>
      <w:tr w14:paraId="7A5E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543" w:type="dxa"/>
            <w:noWrap w:val="0"/>
            <w:vAlign w:val="center"/>
          </w:tcPr>
          <w:p w14:paraId="69277123">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脊柱</w:t>
            </w:r>
          </w:p>
        </w:tc>
        <w:tc>
          <w:tcPr>
            <w:tcW w:w="6976" w:type="dxa"/>
            <w:noWrap w:val="0"/>
            <w:vAlign w:val="center"/>
          </w:tcPr>
          <w:p w14:paraId="488B8BB3">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扫描范围内完整重建</w:t>
            </w:r>
          </w:p>
        </w:tc>
      </w:tr>
      <w:tr w14:paraId="44D1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543" w:type="dxa"/>
            <w:noWrap w:val="0"/>
            <w:vAlign w:val="center"/>
          </w:tcPr>
          <w:p w14:paraId="085C7DF3">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单个椎骨</w:t>
            </w:r>
          </w:p>
        </w:tc>
        <w:tc>
          <w:tcPr>
            <w:tcW w:w="6976" w:type="dxa"/>
            <w:noWrap w:val="0"/>
            <w:vAlign w:val="center"/>
          </w:tcPr>
          <w:p w14:paraId="7032B51A">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有特殊要求时可将各椎骨分开</w:t>
            </w:r>
          </w:p>
        </w:tc>
      </w:tr>
      <w:tr w14:paraId="7650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543" w:type="dxa"/>
            <w:noWrap w:val="0"/>
            <w:vAlign w:val="center"/>
          </w:tcPr>
          <w:p w14:paraId="68975460">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椎间盘</w:t>
            </w:r>
          </w:p>
        </w:tc>
        <w:tc>
          <w:tcPr>
            <w:tcW w:w="6976" w:type="dxa"/>
            <w:noWrap w:val="0"/>
            <w:vAlign w:val="center"/>
          </w:tcPr>
          <w:p w14:paraId="515DC723">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椎间盘完整外形，包括凸出部</w:t>
            </w:r>
          </w:p>
        </w:tc>
      </w:tr>
      <w:tr w14:paraId="6B13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543" w:type="dxa"/>
            <w:noWrap w:val="0"/>
            <w:vAlign w:val="center"/>
          </w:tcPr>
          <w:p w14:paraId="25092F42">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脊髓</w:t>
            </w:r>
          </w:p>
        </w:tc>
        <w:tc>
          <w:tcPr>
            <w:tcW w:w="6976" w:type="dxa"/>
            <w:noWrap w:val="0"/>
            <w:vAlign w:val="center"/>
          </w:tcPr>
          <w:p w14:paraId="231E1CAC">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扫描范围内完整重建</w:t>
            </w:r>
          </w:p>
        </w:tc>
      </w:tr>
      <w:tr w14:paraId="55FD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543" w:type="dxa"/>
            <w:noWrap w:val="0"/>
            <w:vAlign w:val="center"/>
          </w:tcPr>
          <w:p w14:paraId="4766F59F">
            <w:pPr>
              <w:pStyle w:val="4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神经根</w:t>
            </w:r>
          </w:p>
        </w:tc>
        <w:tc>
          <w:tcPr>
            <w:tcW w:w="6976" w:type="dxa"/>
            <w:noWrap w:val="0"/>
            <w:vAlign w:val="center"/>
          </w:tcPr>
          <w:p w14:paraId="3976CED8">
            <w:pPr>
              <w:pStyle w:val="4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扫描范围内完整重建</w:t>
            </w:r>
          </w:p>
        </w:tc>
      </w:tr>
    </w:tbl>
    <w:p w14:paraId="01FFB59A">
      <w:pPr>
        <w:pStyle w:val="41"/>
        <w:spacing w:before="156" w:beforeLines="50" w:line="360" w:lineRule="auto"/>
        <w:ind w:firstLine="480" w:firstLineChars="200"/>
        <w:rPr>
          <w:rFonts w:hint="eastAsia" w:ascii="仿宋" w:hAnsi="仿宋" w:eastAsia="仿宋" w:cs="仿宋"/>
          <w:color w:val="auto"/>
          <w:sz w:val="24"/>
          <w:highlight w:val="none"/>
        </w:rPr>
      </w:pPr>
      <w:bookmarkStart w:id="25" w:name="_Toc69030672"/>
      <w:r>
        <w:rPr>
          <w:rFonts w:hint="eastAsia" w:ascii="仿宋" w:hAnsi="仿宋" w:eastAsia="仿宋" w:cs="仿宋"/>
          <w:color w:val="auto"/>
          <w:sz w:val="24"/>
          <w:highlight w:val="none"/>
        </w:rPr>
        <w:t>10.2 三维重建说明标准</w:t>
      </w:r>
      <w:bookmarkEnd w:id="25"/>
      <w:r>
        <w:rPr>
          <w:rFonts w:hint="eastAsia" w:ascii="仿宋" w:hAnsi="仿宋" w:eastAsia="仿宋" w:cs="仿宋"/>
          <w:color w:val="auto"/>
          <w:sz w:val="24"/>
          <w:highlight w:val="none"/>
        </w:rPr>
        <w:t>提供PDF格式的三维重建说明，内容包括</w:t>
      </w:r>
    </w:p>
    <w:p w14:paraId="45A5DE53">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（1）患者信息（床位、住院号、影像号）、医院信息（科室）、重建单号等；</w:t>
      </w:r>
    </w:p>
    <w:p w14:paraId="647BAE9B">
      <w:pPr>
        <w:pStyle w:val="4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（2）3D重建模型体积计算；</w:t>
      </w:r>
    </w:p>
    <w:p w14:paraId="6D8BD89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（3）3D重建模型整体展示、病变与骨骼相关性展示、病变与动脉相关性展示、病变与静脉相关性展示等。</w:t>
      </w:r>
    </w:p>
    <w:p w14:paraId="6DA8021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仿宋" w:hAnsi="仿宋" w:eastAsia="仿宋" w:cs="仿宋"/>
          <w:b/>
          <w:kern w:val="2"/>
          <w:sz w:val="28"/>
          <w:szCs w:val="32"/>
          <w:highlight w:val="none"/>
          <w:lang w:val="en-US" w:eastAsia="zh-CN" w:bidi="ar-SA"/>
        </w:rPr>
      </w:pPr>
      <w:bookmarkStart w:id="26" w:name="_Toc4684"/>
      <w:r>
        <w:rPr>
          <w:rFonts w:hint="eastAsia" w:ascii="仿宋" w:hAnsi="仿宋" w:eastAsia="仿宋" w:cs="仿宋"/>
          <w:b/>
          <w:kern w:val="2"/>
          <w:sz w:val="28"/>
          <w:szCs w:val="32"/>
          <w:highlight w:val="none"/>
          <w:lang w:val="en-US" w:eastAsia="zh-CN" w:bidi="ar-SA"/>
        </w:rPr>
        <w:t>四、服务要求（包括但不限于以下内容）</w:t>
      </w:r>
      <w:bookmarkEnd w:id="26"/>
    </w:p>
    <w:p w14:paraId="1ADCD8F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1.服务总体要求</w:t>
      </w:r>
    </w:p>
    <w:p w14:paraId="180B046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提供三维医学影像手术计划数据处理服务，为采购人提供软硬件系统，提供软件系统的升级服务。</w:t>
      </w:r>
    </w:p>
    <w:p w14:paraId="3AB5C33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2.具体的服务要求</w:t>
      </w:r>
    </w:p>
    <w:p w14:paraId="2ECED84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（1）服务响应期：收到采购人数据处理服务需求信息，≤30分钟响应，导入影像数据后，所提供的重建结果≤8个工作小时完成。</w:t>
      </w:r>
    </w:p>
    <w:p w14:paraId="117FDE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必须拥有本地化技术服务力量，并提供服务联系人、联系电话。</w:t>
      </w:r>
    </w:p>
    <w:p w14:paraId="2109AB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交付须按数据处理服务质量标准向采购人交付。</w:t>
      </w:r>
    </w:p>
    <w:p w14:paraId="044489C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须保证所提供技术服务符合国家有关规定。</w:t>
      </w:r>
    </w:p>
    <w:p w14:paraId="33F7FAF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须保证解决项目所涉及的技术问题，并满足采购人需求。</w:t>
      </w:r>
    </w:p>
    <w:p w14:paraId="1A02BAF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仿宋" w:hAnsi="仿宋" w:eastAsia="仿宋" w:cs="仿宋"/>
          <w:b/>
          <w:kern w:val="2"/>
          <w:sz w:val="28"/>
          <w:szCs w:val="32"/>
          <w:highlight w:val="none"/>
          <w:lang w:val="en-US" w:eastAsia="zh-CN" w:bidi="ar-SA"/>
        </w:rPr>
      </w:pPr>
      <w:bookmarkStart w:id="27" w:name="_Toc11442"/>
    </w:p>
    <w:p w14:paraId="6FFBE41C">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仿宋" w:hAnsi="仿宋" w:eastAsia="仿宋" w:cs="仿宋"/>
          <w:b/>
          <w:kern w:val="2"/>
          <w:sz w:val="28"/>
          <w:szCs w:val="32"/>
          <w:highlight w:val="none"/>
          <w:lang w:val="en-US" w:eastAsia="zh-CN" w:bidi="ar-SA"/>
        </w:rPr>
      </w:pPr>
    </w:p>
    <w:p w14:paraId="26D2B2B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仿宋" w:hAnsi="仿宋" w:eastAsia="仿宋" w:cs="仿宋"/>
          <w:b/>
          <w:kern w:val="2"/>
          <w:sz w:val="28"/>
          <w:szCs w:val="32"/>
          <w:highlight w:val="none"/>
          <w:lang w:val="en-US" w:eastAsia="zh-CN" w:bidi="ar-SA"/>
        </w:rPr>
      </w:pPr>
    </w:p>
    <w:p w14:paraId="593A1EB1">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仿宋" w:hAnsi="仿宋" w:eastAsia="仿宋" w:cs="仿宋"/>
          <w:b/>
          <w:kern w:val="2"/>
          <w:sz w:val="28"/>
          <w:szCs w:val="32"/>
          <w:highlight w:val="none"/>
          <w:lang w:val="en-US" w:eastAsia="zh-CN" w:bidi="ar-SA"/>
        </w:rPr>
      </w:pPr>
      <w:r>
        <w:rPr>
          <w:rFonts w:hint="eastAsia" w:ascii="仿宋" w:hAnsi="仿宋" w:eastAsia="仿宋" w:cs="仿宋"/>
          <w:b/>
          <w:kern w:val="2"/>
          <w:sz w:val="28"/>
          <w:szCs w:val="32"/>
          <w:highlight w:val="none"/>
          <w:lang w:val="en-US" w:eastAsia="zh-CN" w:bidi="ar-SA"/>
        </w:rPr>
        <w:t>五、技术参数及要求</w:t>
      </w:r>
      <w:bookmarkEnd w:id="27"/>
    </w:p>
    <w:tbl>
      <w:tblPr>
        <w:tblStyle w:val="18"/>
        <w:tblW w:w="10012" w:type="dxa"/>
        <w:jc w:val="center"/>
        <w:tblLayout w:type="autofit"/>
        <w:tblCellMar>
          <w:top w:w="0" w:type="dxa"/>
          <w:left w:w="108" w:type="dxa"/>
          <w:bottom w:w="0" w:type="dxa"/>
          <w:right w:w="108" w:type="dxa"/>
        </w:tblCellMar>
      </w:tblPr>
      <w:tblGrid>
        <w:gridCol w:w="1090"/>
        <w:gridCol w:w="8922"/>
      </w:tblGrid>
      <w:tr w14:paraId="2A8BB939">
        <w:tblPrEx>
          <w:tblCellMar>
            <w:top w:w="0" w:type="dxa"/>
            <w:left w:w="108" w:type="dxa"/>
            <w:bottom w:w="0" w:type="dxa"/>
            <w:right w:w="108" w:type="dxa"/>
          </w:tblCellMar>
        </w:tblPrEx>
        <w:trPr>
          <w:trHeight w:val="421" w:hRule="atLeast"/>
          <w:tblHeader/>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14:paraId="3CD5DD0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8922" w:type="dxa"/>
            <w:tcBorders>
              <w:top w:val="single" w:color="auto" w:sz="4" w:space="0"/>
              <w:left w:val="nil"/>
              <w:bottom w:val="single" w:color="auto" w:sz="4" w:space="0"/>
              <w:right w:val="single" w:color="auto" w:sz="4" w:space="0"/>
            </w:tcBorders>
            <w:noWrap w:val="0"/>
            <w:vAlign w:val="center"/>
          </w:tcPr>
          <w:p w14:paraId="0BF8B28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技术参数</w:t>
            </w:r>
          </w:p>
        </w:tc>
      </w:tr>
      <w:tr w14:paraId="537D259D">
        <w:tblPrEx>
          <w:tblCellMar>
            <w:top w:w="0" w:type="dxa"/>
            <w:left w:w="108" w:type="dxa"/>
            <w:bottom w:w="0" w:type="dxa"/>
            <w:right w:w="108" w:type="dxa"/>
          </w:tblCellMar>
        </w:tblPrEx>
        <w:trPr>
          <w:trHeight w:val="832" w:hRule="atLeast"/>
          <w:jc w:val="center"/>
        </w:trPr>
        <w:tc>
          <w:tcPr>
            <w:tcW w:w="1090" w:type="dxa"/>
            <w:tcBorders>
              <w:top w:val="nil"/>
              <w:left w:val="single" w:color="auto" w:sz="4" w:space="0"/>
              <w:bottom w:val="single" w:color="auto" w:sz="4" w:space="0"/>
              <w:right w:val="single" w:color="auto" w:sz="4" w:space="0"/>
            </w:tcBorders>
            <w:noWrap w:val="0"/>
            <w:vAlign w:val="center"/>
          </w:tcPr>
          <w:p w14:paraId="26DEE3C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1▲</w:t>
            </w:r>
          </w:p>
        </w:tc>
        <w:tc>
          <w:tcPr>
            <w:tcW w:w="8922" w:type="dxa"/>
            <w:tcBorders>
              <w:top w:val="nil"/>
              <w:left w:val="nil"/>
              <w:bottom w:val="single" w:color="auto" w:sz="4" w:space="0"/>
              <w:right w:val="single" w:color="auto" w:sz="4" w:space="0"/>
            </w:tcBorders>
            <w:noWrap w:val="0"/>
            <w:vAlign w:val="center"/>
          </w:tcPr>
          <w:p w14:paraId="07C93A2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处理对象：处理符合DICOM3.0标准的CT和MR影像</w:t>
            </w:r>
          </w:p>
          <w:p w14:paraId="0A17DAB2">
            <w:pPr>
              <w:pStyle w:val="17"/>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（医疗器械注册证应对以上处理对象有相关描述）</w:t>
            </w:r>
          </w:p>
        </w:tc>
      </w:tr>
      <w:tr w14:paraId="40325C7D">
        <w:tblPrEx>
          <w:tblCellMar>
            <w:top w:w="0" w:type="dxa"/>
            <w:left w:w="108" w:type="dxa"/>
            <w:bottom w:w="0" w:type="dxa"/>
            <w:right w:w="108" w:type="dxa"/>
          </w:tblCellMar>
        </w:tblPrEx>
        <w:trPr>
          <w:trHeight w:val="1243" w:hRule="atLeast"/>
          <w:jc w:val="center"/>
        </w:trPr>
        <w:tc>
          <w:tcPr>
            <w:tcW w:w="1090" w:type="dxa"/>
            <w:tcBorders>
              <w:top w:val="nil"/>
              <w:left w:val="single" w:color="auto" w:sz="4" w:space="0"/>
              <w:bottom w:val="single" w:color="auto" w:sz="4" w:space="0"/>
              <w:right w:val="single" w:color="auto" w:sz="4" w:space="0"/>
            </w:tcBorders>
            <w:noWrap w:val="0"/>
            <w:vAlign w:val="center"/>
          </w:tcPr>
          <w:p w14:paraId="6DB4E55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8922" w:type="dxa"/>
            <w:tcBorders>
              <w:top w:val="nil"/>
              <w:left w:val="nil"/>
              <w:bottom w:val="single" w:color="auto" w:sz="4" w:space="0"/>
              <w:right w:val="single" w:color="auto" w:sz="4" w:space="0"/>
            </w:tcBorders>
            <w:noWrap w:val="0"/>
            <w:vAlign w:val="center"/>
          </w:tcPr>
          <w:p w14:paraId="7A0FC61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提供精准3D手术规划，是对三维建模后的数据进行可视化、定量测量与图像处理。辅助医疗数据分析和可视化</w:t>
            </w:r>
          </w:p>
          <w:p w14:paraId="48AE07D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sz w:val="24"/>
                <w:highlight w:val="none"/>
              </w:rPr>
              <w:t>提供软件系统截图作为证明</w:t>
            </w:r>
            <w:r>
              <w:rPr>
                <w:rFonts w:hint="eastAsia" w:ascii="仿宋" w:hAnsi="仿宋" w:eastAsia="仿宋" w:cs="仿宋"/>
                <w:b/>
                <w:bCs/>
                <w:color w:val="auto"/>
                <w:sz w:val="24"/>
                <w:highlight w:val="none"/>
                <w:lang w:val="en-US" w:eastAsia="zh-CN"/>
              </w:rPr>
              <w:t>材料</w:t>
            </w:r>
          </w:p>
        </w:tc>
      </w:tr>
      <w:tr w14:paraId="2C940276">
        <w:tblPrEx>
          <w:tblCellMar>
            <w:top w:w="0" w:type="dxa"/>
            <w:left w:w="108" w:type="dxa"/>
            <w:bottom w:w="0" w:type="dxa"/>
            <w:right w:w="108" w:type="dxa"/>
          </w:tblCellMar>
        </w:tblPrEx>
        <w:trPr>
          <w:trHeight w:val="1655" w:hRule="atLeast"/>
          <w:jc w:val="center"/>
        </w:trPr>
        <w:tc>
          <w:tcPr>
            <w:tcW w:w="1090" w:type="dxa"/>
            <w:tcBorders>
              <w:top w:val="nil"/>
              <w:left w:val="single" w:color="auto" w:sz="4" w:space="0"/>
              <w:bottom w:val="single" w:color="auto" w:sz="4" w:space="0"/>
              <w:right w:val="single" w:color="auto" w:sz="4" w:space="0"/>
            </w:tcBorders>
            <w:noWrap w:val="0"/>
            <w:vAlign w:val="center"/>
          </w:tcPr>
          <w:p w14:paraId="08E3420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8922" w:type="dxa"/>
            <w:tcBorders>
              <w:top w:val="nil"/>
              <w:left w:val="nil"/>
              <w:bottom w:val="single" w:color="auto" w:sz="4" w:space="0"/>
              <w:right w:val="single" w:color="auto" w:sz="4" w:space="0"/>
            </w:tcBorders>
            <w:noWrap w:val="0"/>
            <w:vAlign w:val="center"/>
          </w:tcPr>
          <w:p w14:paraId="1005398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功能主要包括文件管理、数据管理、剪辑框、测量工具、标记工具、多选、移动、体绘制、显示交互、录屏截屏工具、三维窗体工具、参考工具、视图等功能</w:t>
            </w:r>
          </w:p>
          <w:p w14:paraId="569A525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sz w:val="24"/>
                <w:highlight w:val="none"/>
              </w:rPr>
              <w:t>提供软件系统截图作为证明</w:t>
            </w:r>
            <w:r>
              <w:rPr>
                <w:rFonts w:hint="eastAsia" w:ascii="仿宋" w:hAnsi="仿宋" w:eastAsia="仿宋" w:cs="仿宋"/>
                <w:b/>
                <w:bCs/>
                <w:color w:val="auto"/>
                <w:sz w:val="24"/>
                <w:highlight w:val="none"/>
                <w:lang w:val="en-US" w:eastAsia="zh-CN"/>
              </w:rPr>
              <w:t>材料</w:t>
            </w:r>
          </w:p>
        </w:tc>
      </w:tr>
      <w:tr w14:paraId="16A2DF9A">
        <w:tblPrEx>
          <w:tblCellMar>
            <w:top w:w="0" w:type="dxa"/>
            <w:left w:w="108" w:type="dxa"/>
            <w:bottom w:w="0" w:type="dxa"/>
            <w:right w:w="108" w:type="dxa"/>
          </w:tblCellMar>
        </w:tblPrEx>
        <w:trPr>
          <w:trHeight w:val="832" w:hRule="atLeast"/>
          <w:jc w:val="center"/>
        </w:trPr>
        <w:tc>
          <w:tcPr>
            <w:tcW w:w="1090" w:type="dxa"/>
            <w:tcBorders>
              <w:top w:val="nil"/>
              <w:left w:val="single" w:color="auto" w:sz="4" w:space="0"/>
              <w:bottom w:val="single" w:color="auto" w:sz="4" w:space="0"/>
              <w:right w:val="single" w:color="auto" w:sz="4" w:space="0"/>
            </w:tcBorders>
            <w:noWrap w:val="0"/>
            <w:vAlign w:val="center"/>
          </w:tcPr>
          <w:p w14:paraId="7C6F5A7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8922" w:type="dxa"/>
            <w:tcBorders>
              <w:top w:val="nil"/>
              <w:left w:val="nil"/>
              <w:bottom w:val="single" w:color="auto" w:sz="4" w:space="0"/>
              <w:right w:val="single" w:color="auto" w:sz="4" w:space="0"/>
            </w:tcBorders>
            <w:noWrap w:val="0"/>
            <w:vAlign w:val="center"/>
          </w:tcPr>
          <w:p w14:paraId="59465FF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文件管理：打开文件、另存。对数据进行导入和保存</w:t>
            </w:r>
          </w:p>
          <w:p w14:paraId="51478B6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sz w:val="24"/>
                <w:highlight w:val="none"/>
              </w:rPr>
              <w:t>提供软件系统截图作为证明</w:t>
            </w:r>
            <w:r>
              <w:rPr>
                <w:rFonts w:hint="eastAsia" w:ascii="仿宋" w:hAnsi="仿宋" w:eastAsia="仿宋" w:cs="仿宋"/>
                <w:b/>
                <w:bCs/>
                <w:color w:val="auto"/>
                <w:sz w:val="24"/>
                <w:highlight w:val="none"/>
                <w:lang w:val="en-US" w:eastAsia="zh-CN"/>
              </w:rPr>
              <w:t>材料</w:t>
            </w:r>
          </w:p>
        </w:tc>
      </w:tr>
      <w:tr w14:paraId="2EA78B60">
        <w:tblPrEx>
          <w:tblCellMar>
            <w:top w:w="0" w:type="dxa"/>
            <w:left w:w="108" w:type="dxa"/>
            <w:bottom w:w="0" w:type="dxa"/>
            <w:right w:w="108" w:type="dxa"/>
          </w:tblCellMar>
        </w:tblPrEx>
        <w:trPr>
          <w:trHeight w:val="832" w:hRule="atLeast"/>
          <w:jc w:val="center"/>
        </w:trPr>
        <w:tc>
          <w:tcPr>
            <w:tcW w:w="1090" w:type="dxa"/>
            <w:tcBorders>
              <w:top w:val="nil"/>
              <w:left w:val="single" w:color="auto" w:sz="4" w:space="0"/>
              <w:bottom w:val="single" w:color="auto" w:sz="4" w:space="0"/>
              <w:right w:val="single" w:color="auto" w:sz="4" w:space="0"/>
            </w:tcBorders>
            <w:noWrap w:val="0"/>
            <w:vAlign w:val="center"/>
          </w:tcPr>
          <w:p w14:paraId="54DC7B9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8922" w:type="dxa"/>
            <w:tcBorders>
              <w:top w:val="nil"/>
              <w:left w:val="nil"/>
              <w:bottom w:val="single" w:color="auto" w:sz="4" w:space="0"/>
              <w:right w:val="single" w:color="auto" w:sz="4" w:space="0"/>
            </w:tcBorders>
            <w:noWrap w:val="0"/>
            <w:vAlign w:val="center"/>
          </w:tcPr>
          <w:p w14:paraId="3D50822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数据管理：列表、序列。显示导入三维数据的不同部位列表与图像信息</w:t>
            </w:r>
          </w:p>
          <w:p w14:paraId="123F8E8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sz w:val="24"/>
                <w:highlight w:val="none"/>
              </w:rPr>
              <w:t>提供软件系统截图作为证明</w:t>
            </w:r>
            <w:r>
              <w:rPr>
                <w:rFonts w:hint="eastAsia" w:ascii="仿宋" w:hAnsi="仿宋" w:eastAsia="仿宋" w:cs="仿宋"/>
                <w:b/>
                <w:bCs/>
                <w:color w:val="auto"/>
                <w:sz w:val="24"/>
                <w:highlight w:val="none"/>
                <w:lang w:val="en-US" w:eastAsia="zh-CN"/>
              </w:rPr>
              <w:t>材料</w:t>
            </w:r>
          </w:p>
        </w:tc>
      </w:tr>
      <w:tr w14:paraId="3B7E2271">
        <w:tblPrEx>
          <w:tblCellMar>
            <w:top w:w="0" w:type="dxa"/>
            <w:left w:w="108" w:type="dxa"/>
            <w:bottom w:w="0" w:type="dxa"/>
            <w:right w:w="108" w:type="dxa"/>
          </w:tblCellMar>
        </w:tblPrEx>
        <w:trPr>
          <w:trHeight w:val="1243" w:hRule="atLeast"/>
          <w:jc w:val="center"/>
        </w:trPr>
        <w:tc>
          <w:tcPr>
            <w:tcW w:w="1090" w:type="dxa"/>
            <w:tcBorders>
              <w:top w:val="nil"/>
              <w:left w:val="single" w:color="auto" w:sz="4" w:space="0"/>
              <w:bottom w:val="single" w:color="auto" w:sz="4" w:space="0"/>
              <w:right w:val="single" w:color="auto" w:sz="4" w:space="0"/>
            </w:tcBorders>
            <w:noWrap w:val="0"/>
            <w:vAlign w:val="center"/>
          </w:tcPr>
          <w:p w14:paraId="5A22C20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8922" w:type="dxa"/>
            <w:tcBorders>
              <w:top w:val="nil"/>
              <w:left w:val="nil"/>
              <w:bottom w:val="single" w:color="auto" w:sz="4" w:space="0"/>
              <w:right w:val="single" w:color="auto" w:sz="4" w:space="0"/>
            </w:tcBorders>
            <w:noWrap w:val="0"/>
            <w:vAlign w:val="center"/>
          </w:tcPr>
          <w:p w14:paraId="38A982F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剪辑框：对三维模型视图的显示范围进行限制，主要为用户提供三维模型局部范围显示的需求</w:t>
            </w:r>
          </w:p>
          <w:p w14:paraId="20BDE30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sz w:val="24"/>
                <w:highlight w:val="none"/>
              </w:rPr>
              <w:t>提供软件系统截图作为证明</w:t>
            </w:r>
            <w:r>
              <w:rPr>
                <w:rFonts w:hint="eastAsia" w:ascii="仿宋" w:hAnsi="仿宋" w:eastAsia="仿宋" w:cs="仿宋"/>
                <w:b/>
                <w:bCs/>
                <w:color w:val="auto"/>
                <w:sz w:val="24"/>
                <w:highlight w:val="none"/>
                <w:lang w:val="en-US" w:eastAsia="zh-CN"/>
              </w:rPr>
              <w:t>材料</w:t>
            </w:r>
          </w:p>
        </w:tc>
      </w:tr>
      <w:tr w14:paraId="4F2498A7">
        <w:tblPrEx>
          <w:tblCellMar>
            <w:top w:w="0" w:type="dxa"/>
            <w:left w:w="108" w:type="dxa"/>
            <w:bottom w:w="0" w:type="dxa"/>
            <w:right w:w="108" w:type="dxa"/>
          </w:tblCellMar>
        </w:tblPrEx>
        <w:trPr>
          <w:trHeight w:val="1243" w:hRule="atLeast"/>
          <w:jc w:val="center"/>
        </w:trPr>
        <w:tc>
          <w:tcPr>
            <w:tcW w:w="1090" w:type="dxa"/>
            <w:tcBorders>
              <w:top w:val="nil"/>
              <w:left w:val="single" w:color="auto" w:sz="4" w:space="0"/>
              <w:bottom w:val="single" w:color="auto" w:sz="4" w:space="0"/>
              <w:right w:val="single" w:color="auto" w:sz="4" w:space="0"/>
            </w:tcBorders>
            <w:noWrap w:val="0"/>
            <w:vAlign w:val="center"/>
          </w:tcPr>
          <w:p w14:paraId="1AF6DCA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8922" w:type="dxa"/>
            <w:tcBorders>
              <w:top w:val="nil"/>
              <w:left w:val="nil"/>
              <w:bottom w:val="single" w:color="auto" w:sz="4" w:space="0"/>
              <w:right w:val="single" w:color="auto" w:sz="4" w:space="0"/>
            </w:tcBorders>
            <w:noWrap w:val="0"/>
            <w:vAlign w:val="center"/>
          </w:tcPr>
          <w:p w14:paraId="26A9541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测量工具：包含直尺、曲尺功能。用户可以对病人图像数据进行测量操作，获取三维体的距离</w:t>
            </w:r>
          </w:p>
          <w:p w14:paraId="484CA77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sz w:val="24"/>
                <w:highlight w:val="none"/>
              </w:rPr>
              <w:t>提供软件系统截图作为证明</w:t>
            </w:r>
            <w:r>
              <w:rPr>
                <w:rFonts w:hint="eastAsia" w:ascii="仿宋" w:hAnsi="仿宋" w:eastAsia="仿宋" w:cs="仿宋"/>
                <w:b/>
                <w:bCs/>
                <w:color w:val="auto"/>
                <w:sz w:val="24"/>
                <w:highlight w:val="none"/>
                <w:lang w:val="en-US" w:eastAsia="zh-CN"/>
              </w:rPr>
              <w:t>材料</w:t>
            </w:r>
          </w:p>
        </w:tc>
      </w:tr>
      <w:tr w14:paraId="5C3EC746">
        <w:tblPrEx>
          <w:tblCellMar>
            <w:top w:w="0" w:type="dxa"/>
            <w:left w:w="108" w:type="dxa"/>
            <w:bottom w:w="0" w:type="dxa"/>
            <w:right w:w="108" w:type="dxa"/>
          </w:tblCellMar>
        </w:tblPrEx>
        <w:trPr>
          <w:trHeight w:val="1243" w:hRule="atLeast"/>
          <w:jc w:val="center"/>
        </w:trPr>
        <w:tc>
          <w:tcPr>
            <w:tcW w:w="1090" w:type="dxa"/>
            <w:tcBorders>
              <w:top w:val="nil"/>
              <w:left w:val="single" w:color="auto" w:sz="4" w:space="0"/>
              <w:bottom w:val="single" w:color="auto" w:sz="4" w:space="0"/>
              <w:right w:val="single" w:color="auto" w:sz="4" w:space="0"/>
            </w:tcBorders>
            <w:noWrap w:val="0"/>
            <w:vAlign w:val="center"/>
          </w:tcPr>
          <w:p w14:paraId="51FF5E7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8▲</w:t>
            </w:r>
          </w:p>
        </w:tc>
        <w:tc>
          <w:tcPr>
            <w:tcW w:w="8922" w:type="dxa"/>
            <w:tcBorders>
              <w:top w:val="nil"/>
              <w:left w:val="nil"/>
              <w:bottom w:val="single" w:color="auto" w:sz="4" w:space="0"/>
              <w:right w:val="single" w:color="auto" w:sz="4" w:space="0"/>
            </w:tcBorders>
            <w:noWrap w:val="0"/>
            <w:vAlign w:val="center"/>
          </w:tcPr>
          <w:p w14:paraId="53C9F0A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标记工具：标记点。用户可以对三维图像数据进行标记操作，对特定点进行标记与定位</w:t>
            </w:r>
          </w:p>
          <w:p w14:paraId="393C40E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4"/>
                <w:highlight w:val="none"/>
                <w:lang w:eastAsia="zh-CN"/>
              </w:rPr>
              <w:t>（医疗器械注册证应对以上处理对象有相关描述）</w:t>
            </w:r>
          </w:p>
        </w:tc>
      </w:tr>
      <w:tr w14:paraId="47180D92">
        <w:tblPrEx>
          <w:tblCellMar>
            <w:top w:w="0" w:type="dxa"/>
            <w:left w:w="108" w:type="dxa"/>
            <w:bottom w:w="0" w:type="dxa"/>
            <w:right w:w="108" w:type="dxa"/>
          </w:tblCellMar>
        </w:tblPrEx>
        <w:trPr>
          <w:trHeight w:val="1243" w:hRule="atLeast"/>
          <w:jc w:val="center"/>
        </w:trPr>
        <w:tc>
          <w:tcPr>
            <w:tcW w:w="1090" w:type="dxa"/>
            <w:tcBorders>
              <w:top w:val="nil"/>
              <w:left w:val="single" w:color="auto" w:sz="4" w:space="0"/>
              <w:bottom w:val="single" w:color="auto" w:sz="4" w:space="0"/>
              <w:right w:val="single" w:color="auto" w:sz="4" w:space="0"/>
            </w:tcBorders>
            <w:noWrap w:val="0"/>
            <w:vAlign w:val="center"/>
          </w:tcPr>
          <w:p w14:paraId="096A043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9▲</w:t>
            </w:r>
          </w:p>
        </w:tc>
        <w:tc>
          <w:tcPr>
            <w:tcW w:w="8922" w:type="dxa"/>
            <w:tcBorders>
              <w:top w:val="nil"/>
              <w:left w:val="nil"/>
              <w:bottom w:val="single" w:color="auto" w:sz="4" w:space="0"/>
              <w:right w:val="single" w:color="auto" w:sz="4" w:space="0"/>
            </w:tcBorders>
            <w:noWrap w:val="0"/>
            <w:vAlign w:val="center"/>
          </w:tcPr>
          <w:p w14:paraId="0BB6325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标记工具：导航点。用户可以对三维图像数据进行标记操作，对特定点进行标记与定位</w:t>
            </w:r>
          </w:p>
          <w:p w14:paraId="3FA2E30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4"/>
                <w:highlight w:val="none"/>
                <w:lang w:eastAsia="zh-CN"/>
              </w:rPr>
              <w:t>（医疗器械注册证应对以上处理对象有相关描述）</w:t>
            </w:r>
          </w:p>
        </w:tc>
      </w:tr>
      <w:tr w14:paraId="204F0548">
        <w:tblPrEx>
          <w:tblCellMar>
            <w:top w:w="0" w:type="dxa"/>
            <w:left w:w="108" w:type="dxa"/>
            <w:bottom w:w="0" w:type="dxa"/>
            <w:right w:w="108" w:type="dxa"/>
          </w:tblCellMar>
        </w:tblPrEx>
        <w:trPr>
          <w:trHeight w:val="333" w:hRule="atLeast"/>
          <w:jc w:val="center"/>
        </w:trPr>
        <w:tc>
          <w:tcPr>
            <w:tcW w:w="1090" w:type="dxa"/>
            <w:tcBorders>
              <w:top w:val="nil"/>
              <w:left w:val="single" w:color="auto" w:sz="4" w:space="0"/>
              <w:bottom w:val="single" w:color="auto" w:sz="4" w:space="0"/>
              <w:right w:val="single" w:color="auto" w:sz="4" w:space="0"/>
            </w:tcBorders>
            <w:noWrap w:val="0"/>
            <w:vAlign w:val="center"/>
          </w:tcPr>
          <w:p w14:paraId="5E68755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c>
          <w:tcPr>
            <w:tcW w:w="8922" w:type="dxa"/>
            <w:tcBorders>
              <w:top w:val="nil"/>
              <w:left w:val="nil"/>
              <w:bottom w:val="single" w:color="auto" w:sz="4" w:space="0"/>
              <w:right w:val="single" w:color="auto" w:sz="4" w:space="0"/>
            </w:tcBorders>
            <w:noWrap w:val="0"/>
            <w:vAlign w:val="center"/>
          </w:tcPr>
          <w:p w14:paraId="7D5C9F8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多选：主要方便用户对部位的选择与对应的三维模型的显示，提供多样化的选择方式</w:t>
            </w:r>
          </w:p>
          <w:p w14:paraId="0174840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sz w:val="24"/>
                <w:highlight w:val="none"/>
              </w:rPr>
              <w:t>提供软件系统截图作为证明</w:t>
            </w:r>
            <w:r>
              <w:rPr>
                <w:rFonts w:hint="eastAsia" w:ascii="仿宋" w:hAnsi="仿宋" w:eastAsia="仿宋" w:cs="仿宋"/>
                <w:b/>
                <w:bCs/>
                <w:color w:val="auto"/>
                <w:sz w:val="24"/>
                <w:highlight w:val="none"/>
                <w:lang w:val="en-US" w:eastAsia="zh-CN"/>
              </w:rPr>
              <w:t>材料</w:t>
            </w:r>
          </w:p>
        </w:tc>
      </w:tr>
      <w:tr w14:paraId="76474E36">
        <w:tblPrEx>
          <w:tblCellMar>
            <w:top w:w="0" w:type="dxa"/>
            <w:left w:w="108" w:type="dxa"/>
            <w:bottom w:w="0" w:type="dxa"/>
            <w:right w:w="108" w:type="dxa"/>
          </w:tblCellMar>
        </w:tblPrEx>
        <w:trPr>
          <w:trHeight w:val="1243" w:hRule="atLeast"/>
          <w:jc w:val="center"/>
        </w:trPr>
        <w:tc>
          <w:tcPr>
            <w:tcW w:w="1090" w:type="dxa"/>
            <w:tcBorders>
              <w:top w:val="nil"/>
              <w:left w:val="single" w:color="auto" w:sz="4" w:space="0"/>
              <w:bottom w:val="single" w:color="auto" w:sz="4" w:space="0"/>
              <w:right w:val="single" w:color="auto" w:sz="4" w:space="0"/>
            </w:tcBorders>
            <w:noWrap w:val="0"/>
            <w:vAlign w:val="center"/>
          </w:tcPr>
          <w:p w14:paraId="229A2D4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8922" w:type="dxa"/>
            <w:tcBorders>
              <w:top w:val="nil"/>
              <w:left w:val="nil"/>
              <w:bottom w:val="single" w:color="auto" w:sz="4" w:space="0"/>
              <w:right w:val="single" w:color="auto" w:sz="4" w:space="0"/>
            </w:tcBorders>
            <w:noWrap w:val="0"/>
            <w:vAlign w:val="center"/>
          </w:tcPr>
          <w:p w14:paraId="2E02BA7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移动：该功能主要是从整体的三维模型中某一个单一模型或部位进行移动，在单独的空间进行显示</w:t>
            </w:r>
          </w:p>
          <w:p w14:paraId="4EE3066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sz w:val="24"/>
                <w:highlight w:val="none"/>
              </w:rPr>
              <w:t>提供软件系统截图作为证明</w:t>
            </w:r>
            <w:r>
              <w:rPr>
                <w:rFonts w:hint="eastAsia" w:ascii="仿宋" w:hAnsi="仿宋" w:eastAsia="仿宋" w:cs="仿宋"/>
                <w:b/>
                <w:bCs/>
                <w:color w:val="auto"/>
                <w:sz w:val="24"/>
                <w:highlight w:val="none"/>
                <w:lang w:val="en-US" w:eastAsia="zh-CN"/>
              </w:rPr>
              <w:t>材料</w:t>
            </w:r>
          </w:p>
        </w:tc>
      </w:tr>
      <w:tr w14:paraId="3C1B7362">
        <w:tblPrEx>
          <w:tblCellMar>
            <w:top w:w="0" w:type="dxa"/>
            <w:left w:w="108" w:type="dxa"/>
            <w:bottom w:w="0" w:type="dxa"/>
            <w:right w:w="108" w:type="dxa"/>
          </w:tblCellMar>
        </w:tblPrEx>
        <w:trPr>
          <w:trHeight w:val="1243" w:hRule="atLeast"/>
          <w:jc w:val="center"/>
        </w:trPr>
        <w:tc>
          <w:tcPr>
            <w:tcW w:w="1090" w:type="dxa"/>
            <w:tcBorders>
              <w:top w:val="nil"/>
              <w:left w:val="single" w:color="auto" w:sz="4" w:space="0"/>
              <w:bottom w:val="single" w:color="auto" w:sz="4" w:space="0"/>
              <w:right w:val="single" w:color="auto" w:sz="4" w:space="0"/>
            </w:tcBorders>
            <w:noWrap w:val="0"/>
            <w:vAlign w:val="center"/>
          </w:tcPr>
          <w:p w14:paraId="727AAC7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w:t>
            </w:r>
          </w:p>
        </w:tc>
        <w:tc>
          <w:tcPr>
            <w:tcW w:w="8922" w:type="dxa"/>
            <w:tcBorders>
              <w:top w:val="nil"/>
              <w:left w:val="nil"/>
              <w:bottom w:val="single" w:color="auto" w:sz="4" w:space="0"/>
              <w:right w:val="single" w:color="auto" w:sz="4" w:space="0"/>
            </w:tcBorders>
            <w:noWrap w:val="0"/>
            <w:vAlign w:val="center"/>
          </w:tcPr>
          <w:p w14:paraId="6257BB3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体绘制：主要对三维模型显示进行调节，便于观察从表面到深层不同层次的三维数据</w:t>
            </w:r>
          </w:p>
          <w:p w14:paraId="47EC4D9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sz w:val="24"/>
                <w:highlight w:val="none"/>
              </w:rPr>
              <w:t>提供软件系统截图作为证明</w:t>
            </w:r>
            <w:r>
              <w:rPr>
                <w:rFonts w:hint="eastAsia" w:ascii="仿宋" w:hAnsi="仿宋" w:eastAsia="仿宋" w:cs="仿宋"/>
                <w:b/>
                <w:bCs/>
                <w:color w:val="auto"/>
                <w:sz w:val="24"/>
                <w:highlight w:val="none"/>
                <w:lang w:val="en-US" w:eastAsia="zh-CN"/>
              </w:rPr>
              <w:t>材料</w:t>
            </w:r>
          </w:p>
        </w:tc>
      </w:tr>
      <w:tr w14:paraId="632147A1">
        <w:tblPrEx>
          <w:tblCellMar>
            <w:top w:w="0" w:type="dxa"/>
            <w:left w:w="108" w:type="dxa"/>
            <w:bottom w:w="0" w:type="dxa"/>
            <w:right w:w="108" w:type="dxa"/>
          </w:tblCellMar>
        </w:tblPrEx>
        <w:trPr>
          <w:trHeight w:val="1243" w:hRule="atLeast"/>
          <w:jc w:val="center"/>
        </w:trPr>
        <w:tc>
          <w:tcPr>
            <w:tcW w:w="1090" w:type="dxa"/>
            <w:tcBorders>
              <w:top w:val="nil"/>
              <w:left w:val="single" w:color="auto" w:sz="4" w:space="0"/>
              <w:bottom w:val="single" w:color="auto" w:sz="4" w:space="0"/>
              <w:right w:val="single" w:color="auto" w:sz="4" w:space="0"/>
            </w:tcBorders>
            <w:noWrap w:val="0"/>
            <w:vAlign w:val="center"/>
          </w:tcPr>
          <w:p w14:paraId="0D0ABED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w:t>
            </w:r>
          </w:p>
        </w:tc>
        <w:tc>
          <w:tcPr>
            <w:tcW w:w="8922" w:type="dxa"/>
            <w:tcBorders>
              <w:top w:val="nil"/>
              <w:left w:val="nil"/>
              <w:bottom w:val="single" w:color="auto" w:sz="4" w:space="0"/>
              <w:right w:val="single" w:color="auto" w:sz="4" w:space="0"/>
            </w:tcBorders>
            <w:noWrap w:val="0"/>
            <w:vAlign w:val="center"/>
          </w:tcPr>
          <w:p w14:paraId="55921FE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显示交互：多平面：主要提供三维数据的二维模型三个不同方位的图像显示窗口</w:t>
            </w:r>
          </w:p>
          <w:p w14:paraId="6821F71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sz w:val="24"/>
                <w:highlight w:val="none"/>
              </w:rPr>
              <w:t>提供软件系统截图作为证明</w:t>
            </w:r>
            <w:r>
              <w:rPr>
                <w:rFonts w:hint="eastAsia" w:ascii="仿宋" w:hAnsi="仿宋" w:eastAsia="仿宋" w:cs="仿宋"/>
                <w:b/>
                <w:bCs/>
                <w:color w:val="auto"/>
                <w:sz w:val="24"/>
                <w:highlight w:val="none"/>
                <w:lang w:val="en-US" w:eastAsia="zh-CN"/>
              </w:rPr>
              <w:t>材料</w:t>
            </w:r>
          </w:p>
        </w:tc>
      </w:tr>
      <w:tr w14:paraId="703E9CAF">
        <w:tblPrEx>
          <w:tblCellMar>
            <w:top w:w="0" w:type="dxa"/>
            <w:left w:w="108" w:type="dxa"/>
            <w:bottom w:w="0" w:type="dxa"/>
            <w:right w:w="108" w:type="dxa"/>
          </w:tblCellMar>
        </w:tblPrEx>
        <w:trPr>
          <w:trHeight w:val="1243" w:hRule="atLeast"/>
          <w:jc w:val="center"/>
        </w:trPr>
        <w:tc>
          <w:tcPr>
            <w:tcW w:w="1090" w:type="dxa"/>
            <w:tcBorders>
              <w:top w:val="nil"/>
              <w:left w:val="single" w:color="auto" w:sz="4" w:space="0"/>
              <w:bottom w:val="single" w:color="auto" w:sz="4" w:space="0"/>
              <w:right w:val="single" w:color="auto" w:sz="4" w:space="0"/>
            </w:tcBorders>
            <w:noWrap w:val="0"/>
            <w:vAlign w:val="center"/>
          </w:tcPr>
          <w:p w14:paraId="463EF26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w:t>
            </w:r>
          </w:p>
        </w:tc>
        <w:tc>
          <w:tcPr>
            <w:tcW w:w="8922" w:type="dxa"/>
            <w:tcBorders>
              <w:top w:val="nil"/>
              <w:left w:val="nil"/>
              <w:bottom w:val="single" w:color="auto" w:sz="4" w:space="0"/>
              <w:right w:val="single" w:color="auto" w:sz="4" w:space="0"/>
            </w:tcBorders>
            <w:noWrap w:val="0"/>
            <w:vAlign w:val="center"/>
          </w:tcPr>
          <w:p w14:paraId="79B4533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录屏截屏工具：本产品提供的录屏截屏工具是快捷的截图和录屏功能，满足用户使用过程中的录屏和关键操作的截图标注的需求</w:t>
            </w:r>
          </w:p>
          <w:p w14:paraId="393DCC0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sz w:val="24"/>
                <w:highlight w:val="none"/>
              </w:rPr>
              <w:t>提供软件系统截图作为证明</w:t>
            </w:r>
            <w:r>
              <w:rPr>
                <w:rFonts w:hint="eastAsia" w:ascii="仿宋" w:hAnsi="仿宋" w:eastAsia="仿宋" w:cs="仿宋"/>
                <w:b/>
                <w:bCs/>
                <w:color w:val="auto"/>
                <w:sz w:val="24"/>
                <w:highlight w:val="none"/>
                <w:lang w:val="en-US" w:eastAsia="zh-CN"/>
              </w:rPr>
              <w:t>材料</w:t>
            </w:r>
          </w:p>
        </w:tc>
      </w:tr>
      <w:tr w14:paraId="6BCA4533">
        <w:tblPrEx>
          <w:tblCellMar>
            <w:top w:w="0" w:type="dxa"/>
            <w:left w:w="108" w:type="dxa"/>
            <w:bottom w:w="0" w:type="dxa"/>
            <w:right w:w="108" w:type="dxa"/>
          </w:tblCellMar>
        </w:tblPrEx>
        <w:trPr>
          <w:trHeight w:val="421" w:hRule="atLeast"/>
          <w:jc w:val="center"/>
        </w:trPr>
        <w:tc>
          <w:tcPr>
            <w:tcW w:w="1090" w:type="dxa"/>
            <w:tcBorders>
              <w:top w:val="nil"/>
              <w:left w:val="single" w:color="auto" w:sz="4" w:space="0"/>
              <w:bottom w:val="single" w:color="auto" w:sz="4" w:space="0"/>
              <w:right w:val="single" w:color="auto" w:sz="4" w:space="0"/>
            </w:tcBorders>
            <w:noWrap w:val="0"/>
            <w:vAlign w:val="center"/>
          </w:tcPr>
          <w:p w14:paraId="5A1762B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15</w:t>
            </w:r>
          </w:p>
        </w:tc>
        <w:tc>
          <w:tcPr>
            <w:tcW w:w="8922" w:type="dxa"/>
            <w:tcBorders>
              <w:top w:val="nil"/>
              <w:left w:val="nil"/>
              <w:bottom w:val="single" w:color="auto" w:sz="4" w:space="0"/>
              <w:right w:val="single" w:color="auto" w:sz="4" w:space="0"/>
            </w:tcBorders>
            <w:noWrap w:val="0"/>
            <w:vAlign w:val="center"/>
          </w:tcPr>
          <w:p w14:paraId="2435BA0C">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三维窗体工具，主要是对三维图像进行操作与处理</w:t>
            </w:r>
          </w:p>
        </w:tc>
      </w:tr>
      <w:tr w14:paraId="628D853A">
        <w:tblPrEx>
          <w:tblCellMar>
            <w:top w:w="0" w:type="dxa"/>
            <w:left w:w="108" w:type="dxa"/>
            <w:bottom w:w="0" w:type="dxa"/>
            <w:right w:w="108" w:type="dxa"/>
          </w:tblCellMar>
        </w:tblPrEx>
        <w:trPr>
          <w:trHeight w:val="832" w:hRule="atLeast"/>
          <w:jc w:val="center"/>
        </w:trPr>
        <w:tc>
          <w:tcPr>
            <w:tcW w:w="1090" w:type="dxa"/>
            <w:tcBorders>
              <w:top w:val="nil"/>
              <w:left w:val="single" w:color="auto" w:sz="4" w:space="0"/>
              <w:bottom w:val="single" w:color="auto" w:sz="4" w:space="0"/>
              <w:right w:val="single" w:color="auto" w:sz="4" w:space="0"/>
            </w:tcBorders>
            <w:noWrap w:val="0"/>
            <w:vAlign w:val="center"/>
          </w:tcPr>
          <w:p w14:paraId="5B71F7C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w:t>
            </w:r>
          </w:p>
        </w:tc>
        <w:tc>
          <w:tcPr>
            <w:tcW w:w="8922" w:type="dxa"/>
            <w:tcBorders>
              <w:top w:val="nil"/>
              <w:left w:val="nil"/>
              <w:bottom w:val="single" w:color="auto" w:sz="4" w:space="0"/>
              <w:right w:val="single" w:color="auto" w:sz="4" w:space="0"/>
            </w:tcBorders>
            <w:noWrap w:val="0"/>
            <w:vAlign w:val="center"/>
          </w:tcPr>
          <w:p w14:paraId="0A7EC17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旋转</w:t>
            </w:r>
          </w:p>
          <w:p w14:paraId="2A8BF20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sz w:val="24"/>
                <w:highlight w:val="none"/>
              </w:rPr>
              <w:t>提供软件系统截图作为证明</w:t>
            </w:r>
            <w:r>
              <w:rPr>
                <w:rFonts w:hint="eastAsia" w:ascii="仿宋" w:hAnsi="仿宋" w:eastAsia="仿宋" w:cs="仿宋"/>
                <w:b/>
                <w:bCs/>
                <w:color w:val="auto"/>
                <w:sz w:val="24"/>
                <w:highlight w:val="none"/>
                <w:lang w:val="en-US" w:eastAsia="zh-CN"/>
              </w:rPr>
              <w:t>材料</w:t>
            </w:r>
          </w:p>
        </w:tc>
      </w:tr>
      <w:tr w14:paraId="0432274A">
        <w:tblPrEx>
          <w:tblCellMar>
            <w:top w:w="0" w:type="dxa"/>
            <w:left w:w="108" w:type="dxa"/>
            <w:bottom w:w="0" w:type="dxa"/>
            <w:right w:w="108" w:type="dxa"/>
          </w:tblCellMar>
        </w:tblPrEx>
        <w:trPr>
          <w:trHeight w:val="832" w:hRule="atLeast"/>
          <w:jc w:val="center"/>
        </w:trPr>
        <w:tc>
          <w:tcPr>
            <w:tcW w:w="1090" w:type="dxa"/>
            <w:tcBorders>
              <w:top w:val="nil"/>
              <w:left w:val="single" w:color="auto" w:sz="4" w:space="0"/>
              <w:bottom w:val="single" w:color="auto" w:sz="4" w:space="0"/>
              <w:right w:val="single" w:color="auto" w:sz="4" w:space="0"/>
            </w:tcBorders>
            <w:noWrap w:val="0"/>
            <w:vAlign w:val="center"/>
          </w:tcPr>
          <w:p w14:paraId="41D652E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15.2</w:t>
            </w:r>
          </w:p>
        </w:tc>
        <w:tc>
          <w:tcPr>
            <w:tcW w:w="8922" w:type="dxa"/>
            <w:tcBorders>
              <w:top w:val="nil"/>
              <w:left w:val="nil"/>
              <w:bottom w:val="single" w:color="auto" w:sz="4" w:space="0"/>
              <w:right w:val="single" w:color="auto" w:sz="4" w:space="0"/>
            </w:tcBorders>
            <w:noWrap w:val="0"/>
            <w:vAlign w:val="center"/>
          </w:tcPr>
          <w:p w14:paraId="200B261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LOGO</w:t>
            </w:r>
          </w:p>
          <w:p w14:paraId="31A8E1C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sz w:val="24"/>
                <w:highlight w:val="none"/>
              </w:rPr>
              <w:t>提供软件系统截图作为证明</w:t>
            </w:r>
            <w:r>
              <w:rPr>
                <w:rFonts w:hint="eastAsia" w:ascii="仿宋" w:hAnsi="仿宋" w:eastAsia="仿宋" w:cs="仿宋"/>
                <w:b/>
                <w:bCs/>
                <w:color w:val="auto"/>
                <w:sz w:val="24"/>
                <w:highlight w:val="none"/>
                <w:lang w:val="en-US" w:eastAsia="zh-CN"/>
              </w:rPr>
              <w:t>材料</w:t>
            </w:r>
          </w:p>
        </w:tc>
      </w:tr>
      <w:tr w14:paraId="0B65479E">
        <w:tblPrEx>
          <w:tblCellMar>
            <w:top w:w="0" w:type="dxa"/>
            <w:left w:w="108" w:type="dxa"/>
            <w:bottom w:w="0" w:type="dxa"/>
            <w:right w:w="108" w:type="dxa"/>
          </w:tblCellMar>
        </w:tblPrEx>
        <w:trPr>
          <w:trHeight w:val="832" w:hRule="atLeast"/>
          <w:jc w:val="center"/>
        </w:trPr>
        <w:tc>
          <w:tcPr>
            <w:tcW w:w="1090" w:type="dxa"/>
            <w:tcBorders>
              <w:top w:val="nil"/>
              <w:left w:val="single" w:color="auto" w:sz="4" w:space="0"/>
              <w:bottom w:val="single" w:color="auto" w:sz="4" w:space="0"/>
              <w:right w:val="single" w:color="auto" w:sz="4" w:space="0"/>
            </w:tcBorders>
            <w:noWrap w:val="0"/>
            <w:vAlign w:val="center"/>
          </w:tcPr>
          <w:p w14:paraId="384CA1D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15.3</w:t>
            </w:r>
          </w:p>
        </w:tc>
        <w:tc>
          <w:tcPr>
            <w:tcW w:w="8922" w:type="dxa"/>
            <w:tcBorders>
              <w:top w:val="nil"/>
              <w:left w:val="nil"/>
              <w:bottom w:val="single" w:color="auto" w:sz="4" w:space="0"/>
              <w:right w:val="single" w:color="auto" w:sz="4" w:space="0"/>
            </w:tcBorders>
            <w:noWrap w:val="0"/>
            <w:vAlign w:val="center"/>
          </w:tcPr>
          <w:p w14:paraId="45BE6D8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体方位</w:t>
            </w:r>
          </w:p>
          <w:p w14:paraId="1A4C69E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sz w:val="24"/>
                <w:highlight w:val="none"/>
              </w:rPr>
              <w:t>提供软件系统截图作为证明</w:t>
            </w:r>
            <w:r>
              <w:rPr>
                <w:rFonts w:hint="eastAsia" w:ascii="仿宋" w:hAnsi="仿宋" w:eastAsia="仿宋" w:cs="仿宋"/>
                <w:b/>
                <w:bCs/>
                <w:color w:val="auto"/>
                <w:sz w:val="24"/>
                <w:highlight w:val="none"/>
                <w:lang w:val="en-US" w:eastAsia="zh-CN"/>
              </w:rPr>
              <w:t>材料</w:t>
            </w:r>
          </w:p>
        </w:tc>
      </w:tr>
      <w:tr w14:paraId="2B3FAF39">
        <w:tblPrEx>
          <w:tblCellMar>
            <w:top w:w="0" w:type="dxa"/>
            <w:left w:w="108" w:type="dxa"/>
            <w:bottom w:w="0" w:type="dxa"/>
            <w:right w:w="108" w:type="dxa"/>
          </w:tblCellMar>
        </w:tblPrEx>
        <w:trPr>
          <w:trHeight w:val="832" w:hRule="atLeast"/>
          <w:jc w:val="center"/>
        </w:trPr>
        <w:tc>
          <w:tcPr>
            <w:tcW w:w="1090" w:type="dxa"/>
            <w:tcBorders>
              <w:top w:val="nil"/>
              <w:left w:val="single" w:color="auto" w:sz="4" w:space="0"/>
              <w:bottom w:val="single" w:color="auto" w:sz="4" w:space="0"/>
              <w:right w:val="single" w:color="auto" w:sz="4" w:space="0"/>
            </w:tcBorders>
            <w:noWrap w:val="0"/>
            <w:vAlign w:val="center"/>
          </w:tcPr>
          <w:p w14:paraId="408A884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15.4</w:t>
            </w:r>
          </w:p>
        </w:tc>
        <w:tc>
          <w:tcPr>
            <w:tcW w:w="8922" w:type="dxa"/>
            <w:tcBorders>
              <w:top w:val="nil"/>
              <w:left w:val="nil"/>
              <w:bottom w:val="single" w:color="auto" w:sz="4" w:space="0"/>
              <w:right w:val="single" w:color="auto" w:sz="4" w:space="0"/>
            </w:tcBorders>
            <w:noWrap w:val="0"/>
            <w:vAlign w:val="center"/>
          </w:tcPr>
          <w:p w14:paraId="2EA22C8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背景色修改</w:t>
            </w:r>
          </w:p>
          <w:p w14:paraId="5C58E34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sz w:val="24"/>
                <w:highlight w:val="none"/>
              </w:rPr>
              <w:t>提供软件系统截图作为证明</w:t>
            </w:r>
            <w:r>
              <w:rPr>
                <w:rFonts w:hint="eastAsia" w:ascii="仿宋" w:hAnsi="仿宋" w:eastAsia="仿宋" w:cs="仿宋"/>
                <w:b/>
                <w:bCs/>
                <w:color w:val="auto"/>
                <w:sz w:val="24"/>
                <w:highlight w:val="none"/>
                <w:lang w:val="en-US" w:eastAsia="zh-CN"/>
              </w:rPr>
              <w:t>材料</w:t>
            </w:r>
          </w:p>
        </w:tc>
      </w:tr>
      <w:tr w14:paraId="071FCE64">
        <w:tblPrEx>
          <w:tblCellMar>
            <w:top w:w="0" w:type="dxa"/>
            <w:left w:w="108" w:type="dxa"/>
            <w:bottom w:w="0" w:type="dxa"/>
            <w:right w:w="108" w:type="dxa"/>
          </w:tblCellMar>
        </w:tblPrEx>
        <w:trPr>
          <w:trHeight w:val="832" w:hRule="atLeast"/>
          <w:jc w:val="center"/>
        </w:trPr>
        <w:tc>
          <w:tcPr>
            <w:tcW w:w="1090" w:type="dxa"/>
            <w:tcBorders>
              <w:top w:val="nil"/>
              <w:left w:val="single" w:color="auto" w:sz="4" w:space="0"/>
              <w:bottom w:val="single" w:color="auto" w:sz="4" w:space="0"/>
              <w:right w:val="single" w:color="auto" w:sz="4" w:space="0"/>
            </w:tcBorders>
            <w:noWrap w:val="0"/>
            <w:vAlign w:val="center"/>
          </w:tcPr>
          <w:p w14:paraId="6BA2F0D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15.5</w:t>
            </w:r>
          </w:p>
        </w:tc>
        <w:tc>
          <w:tcPr>
            <w:tcW w:w="8922" w:type="dxa"/>
            <w:tcBorders>
              <w:top w:val="nil"/>
              <w:left w:val="nil"/>
              <w:bottom w:val="single" w:color="auto" w:sz="4" w:space="0"/>
              <w:right w:val="single" w:color="auto" w:sz="4" w:space="0"/>
            </w:tcBorders>
            <w:noWrap w:val="0"/>
            <w:vAlign w:val="center"/>
          </w:tcPr>
          <w:p w14:paraId="3DC8FEC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鼠标操作</w:t>
            </w:r>
          </w:p>
          <w:p w14:paraId="4EA0EB4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sz w:val="24"/>
                <w:highlight w:val="none"/>
              </w:rPr>
              <w:t>提供软件系统截图作为证明</w:t>
            </w:r>
            <w:r>
              <w:rPr>
                <w:rFonts w:hint="eastAsia" w:ascii="仿宋" w:hAnsi="仿宋" w:eastAsia="仿宋" w:cs="仿宋"/>
                <w:b/>
                <w:bCs/>
                <w:color w:val="auto"/>
                <w:sz w:val="24"/>
                <w:highlight w:val="none"/>
                <w:lang w:val="en-US" w:eastAsia="zh-CN"/>
              </w:rPr>
              <w:t>材料</w:t>
            </w:r>
          </w:p>
        </w:tc>
      </w:tr>
      <w:tr w14:paraId="799B0416">
        <w:tblPrEx>
          <w:tblCellMar>
            <w:top w:w="0" w:type="dxa"/>
            <w:left w:w="108" w:type="dxa"/>
            <w:bottom w:w="0" w:type="dxa"/>
            <w:right w:w="108" w:type="dxa"/>
          </w:tblCellMar>
        </w:tblPrEx>
        <w:trPr>
          <w:trHeight w:val="832" w:hRule="atLeast"/>
          <w:jc w:val="center"/>
        </w:trPr>
        <w:tc>
          <w:tcPr>
            <w:tcW w:w="1090" w:type="dxa"/>
            <w:tcBorders>
              <w:top w:val="nil"/>
              <w:left w:val="single" w:color="auto" w:sz="4" w:space="0"/>
              <w:bottom w:val="single" w:color="auto" w:sz="4" w:space="0"/>
              <w:right w:val="single" w:color="auto" w:sz="4" w:space="0"/>
            </w:tcBorders>
            <w:noWrap w:val="0"/>
            <w:vAlign w:val="center"/>
          </w:tcPr>
          <w:p w14:paraId="212966E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15.6▲</w:t>
            </w:r>
          </w:p>
        </w:tc>
        <w:tc>
          <w:tcPr>
            <w:tcW w:w="8922" w:type="dxa"/>
            <w:tcBorders>
              <w:top w:val="nil"/>
              <w:left w:val="nil"/>
              <w:bottom w:val="single" w:color="auto" w:sz="4" w:space="0"/>
              <w:right w:val="single" w:color="auto" w:sz="4" w:space="0"/>
            </w:tcBorders>
            <w:noWrap w:val="0"/>
            <w:vAlign w:val="center"/>
          </w:tcPr>
          <w:p w14:paraId="73669B4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手术刀</w:t>
            </w:r>
          </w:p>
          <w:p w14:paraId="1BFF19F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4"/>
                <w:highlight w:val="none"/>
                <w:lang w:eastAsia="zh-CN"/>
              </w:rPr>
              <w:t>（医疗器械注册证应对以上处理对象有相关描述）</w:t>
            </w:r>
          </w:p>
        </w:tc>
      </w:tr>
      <w:tr w14:paraId="5CC653DD">
        <w:tblPrEx>
          <w:tblCellMar>
            <w:top w:w="0" w:type="dxa"/>
            <w:left w:w="108" w:type="dxa"/>
            <w:bottom w:w="0" w:type="dxa"/>
            <w:right w:w="108" w:type="dxa"/>
          </w:tblCellMar>
        </w:tblPrEx>
        <w:trPr>
          <w:trHeight w:val="832" w:hRule="atLeast"/>
          <w:jc w:val="center"/>
        </w:trPr>
        <w:tc>
          <w:tcPr>
            <w:tcW w:w="1090" w:type="dxa"/>
            <w:tcBorders>
              <w:top w:val="nil"/>
              <w:left w:val="single" w:color="auto" w:sz="4" w:space="0"/>
              <w:bottom w:val="single" w:color="auto" w:sz="4" w:space="0"/>
              <w:right w:val="single" w:color="auto" w:sz="4" w:space="0"/>
            </w:tcBorders>
            <w:noWrap w:val="0"/>
            <w:vAlign w:val="center"/>
          </w:tcPr>
          <w:p w14:paraId="013ED06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15.7▲</w:t>
            </w:r>
          </w:p>
        </w:tc>
        <w:tc>
          <w:tcPr>
            <w:tcW w:w="8922" w:type="dxa"/>
            <w:tcBorders>
              <w:top w:val="nil"/>
              <w:left w:val="nil"/>
              <w:bottom w:val="single" w:color="auto" w:sz="4" w:space="0"/>
              <w:right w:val="single" w:color="auto" w:sz="4" w:space="0"/>
            </w:tcBorders>
            <w:noWrap w:val="0"/>
            <w:vAlign w:val="center"/>
          </w:tcPr>
          <w:p w14:paraId="44DFB54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血管裁切</w:t>
            </w:r>
          </w:p>
          <w:p w14:paraId="252BD0F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4"/>
                <w:highlight w:val="none"/>
                <w:lang w:eastAsia="zh-CN"/>
              </w:rPr>
              <w:t>（医疗器械注册证应对以上处理对象有相关描述）</w:t>
            </w:r>
          </w:p>
        </w:tc>
      </w:tr>
      <w:tr w14:paraId="29546E9E">
        <w:tblPrEx>
          <w:tblCellMar>
            <w:top w:w="0" w:type="dxa"/>
            <w:left w:w="108" w:type="dxa"/>
            <w:bottom w:w="0" w:type="dxa"/>
            <w:right w:w="108" w:type="dxa"/>
          </w:tblCellMar>
        </w:tblPrEx>
        <w:trPr>
          <w:trHeight w:val="832" w:hRule="atLeast"/>
          <w:jc w:val="center"/>
        </w:trPr>
        <w:tc>
          <w:tcPr>
            <w:tcW w:w="1090" w:type="dxa"/>
            <w:tcBorders>
              <w:top w:val="nil"/>
              <w:left w:val="single" w:color="auto" w:sz="4" w:space="0"/>
              <w:bottom w:val="single" w:color="auto" w:sz="4" w:space="0"/>
              <w:right w:val="single" w:color="auto" w:sz="4" w:space="0"/>
            </w:tcBorders>
            <w:noWrap w:val="0"/>
            <w:vAlign w:val="center"/>
          </w:tcPr>
          <w:p w14:paraId="7452467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15.8▲</w:t>
            </w:r>
          </w:p>
        </w:tc>
        <w:tc>
          <w:tcPr>
            <w:tcW w:w="8922" w:type="dxa"/>
            <w:tcBorders>
              <w:top w:val="nil"/>
              <w:left w:val="nil"/>
              <w:bottom w:val="single" w:color="auto" w:sz="4" w:space="0"/>
              <w:right w:val="single" w:color="auto" w:sz="4" w:space="0"/>
            </w:tcBorders>
            <w:noWrap w:val="0"/>
            <w:vAlign w:val="center"/>
          </w:tcPr>
          <w:p w14:paraId="7ABD98C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肝脏血管流域计算</w:t>
            </w:r>
          </w:p>
          <w:p w14:paraId="0CB2952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4"/>
                <w:highlight w:val="none"/>
                <w:lang w:eastAsia="zh-CN"/>
              </w:rPr>
              <w:t>（医疗器械注册证应对以上处理对象有相关描述）</w:t>
            </w:r>
          </w:p>
        </w:tc>
      </w:tr>
      <w:tr w14:paraId="203F30D3">
        <w:tblPrEx>
          <w:tblCellMar>
            <w:top w:w="0" w:type="dxa"/>
            <w:left w:w="108" w:type="dxa"/>
            <w:bottom w:w="0" w:type="dxa"/>
            <w:right w:w="108" w:type="dxa"/>
          </w:tblCellMar>
        </w:tblPrEx>
        <w:trPr>
          <w:trHeight w:val="832" w:hRule="atLeast"/>
          <w:jc w:val="center"/>
        </w:trPr>
        <w:tc>
          <w:tcPr>
            <w:tcW w:w="1090" w:type="dxa"/>
            <w:tcBorders>
              <w:top w:val="nil"/>
              <w:left w:val="single" w:color="auto" w:sz="4" w:space="0"/>
              <w:bottom w:val="single" w:color="auto" w:sz="4" w:space="0"/>
              <w:right w:val="single" w:color="auto" w:sz="4" w:space="0"/>
            </w:tcBorders>
            <w:noWrap w:val="0"/>
            <w:vAlign w:val="center"/>
          </w:tcPr>
          <w:p w14:paraId="413A32C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15.9▲</w:t>
            </w:r>
          </w:p>
        </w:tc>
        <w:tc>
          <w:tcPr>
            <w:tcW w:w="8922" w:type="dxa"/>
            <w:tcBorders>
              <w:top w:val="nil"/>
              <w:left w:val="nil"/>
              <w:bottom w:val="single" w:color="auto" w:sz="4" w:space="0"/>
              <w:right w:val="single" w:color="auto" w:sz="4" w:space="0"/>
            </w:tcBorders>
            <w:noWrap w:val="0"/>
            <w:vAlign w:val="center"/>
          </w:tcPr>
          <w:p w14:paraId="562B8BA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肺支气管流域计算</w:t>
            </w:r>
          </w:p>
          <w:p w14:paraId="567FC3C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4"/>
                <w:highlight w:val="none"/>
                <w:lang w:eastAsia="zh-CN"/>
              </w:rPr>
              <w:t>（医疗器械注册证应对以上处理对象有相关描述）</w:t>
            </w:r>
          </w:p>
        </w:tc>
      </w:tr>
      <w:tr w14:paraId="1AF37A0E">
        <w:tblPrEx>
          <w:tblCellMar>
            <w:top w:w="0" w:type="dxa"/>
            <w:left w:w="108" w:type="dxa"/>
            <w:bottom w:w="0" w:type="dxa"/>
            <w:right w:w="108" w:type="dxa"/>
          </w:tblCellMar>
        </w:tblPrEx>
        <w:trPr>
          <w:trHeight w:val="832" w:hRule="atLeast"/>
          <w:jc w:val="center"/>
        </w:trPr>
        <w:tc>
          <w:tcPr>
            <w:tcW w:w="1090" w:type="dxa"/>
            <w:tcBorders>
              <w:top w:val="nil"/>
              <w:left w:val="single" w:color="auto" w:sz="4" w:space="0"/>
              <w:bottom w:val="single" w:color="auto" w:sz="4" w:space="0"/>
              <w:right w:val="single" w:color="auto" w:sz="4" w:space="0"/>
            </w:tcBorders>
            <w:noWrap w:val="0"/>
            <w:vAlign w:val="center"/>
          </w:tcPr>
          <w:p w14:paraId="78ADBFE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15.10▲</w:t>
            </w:r>
          </w:p>
        </w:tc>
        <w:tc>
          <w:tcPr>
            <w:tcW w:w="8922" w:type="dxa"/>
            <w:tcBorders>
              <w:top w:val="nil"/>
              <w:left w:val="nil"/>
              <w:bottom w:val="single" w:color="auto" w:sz="4" w:space="0"/>
              <w:right w:val="single" w:color="auto" w:sz="4" w:space="0"/>
            </w:tcBorders>
            <w:noWrap w:val="0"/>
            <w:vAlign w:val="center"/>
          </w:tcPr>
          <w:p w14:paraId="17D2FF5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标准肝</w:t>
            </w:r>
          </w:p>
          <w:p w14:paraId="18D5F83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4"/>
                <w:highlight w:val="none"/>
                <w:lang w:eastAsia="zh-CN"/>
              </w:rPr>
              <w:t>（医疗器械注册证应对以上处理对象有相关描述）</w:t>
            </w:r>
          </w:p>
        </w:tc>
      </w:tr>
      <w:tr w14:paraId="2A3EE634">
        <w:tblPrEx>
          <w:tblCellMar>
            <w:top w:w="0" w:type="dxa"/>
            <w:left w:w="108" w:type="dxa"/>
            <w:bottom w:w="0" w:type="dxa"/>
            <w:right w:w="108" w:type="dxa"/>
          </w:tblCellMar>
        </w:tblPrEx>
        <w:trPr>
          <w:trHeight w:val="832" w:hRule="atLeast"/>
          <w:jc w:val="center"/>
        </w:trPr>
        <w:tc>
          <w:tcPr>
            <w:tcW w:w="1090" w:type="dxa"/>
            <w:tcBorders>
              <w:top w:val="nil"/>
              <w:left w:val="single" w:color="auto" w:sz="4" w:space="0"/>
              <w:bottom w:val="single" w:color="auto" w:sz="4" w:space="0"/>
              <w:right w:val="single" w:color="auto" w:sz="4" w:space="0"/>
            </w:tcBorders>
            <w:noWrap w:val="0"/>
            <w:vAlign w:val="center"/>
          </w:tcPr>
          <w:p w14:paraId="3CAE9BE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15.11▲</w:t>
            </w:r>
          </w:p>
        </w:tc>
        <w:tc>
          <w:tcPr>
            <w:tcW w:w="8922" w:type="dxa"/>
            <w:tcBorders>
              <w:top w:val="nil"/>
              <w:left w:val="nil"/>
              <w:bottom w:val="single" w:color="auto" w:sz="4" w:space="0"/>
              <w:right w:val="single" w:color="auto" w:sz="4" w:space="0"/>
            </w:tcBorders>
            <w:noWrap w:val="0"/>
            <w:vAlign w:val="center"/>
          </w:tcPr>
          <w:p w14:paraId="6F6CB6F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占位边缘扩展</w:t>
            </w:r>
          </w:p>
          <w:p w14:paraId="5875EF8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4"/>
                <w:highlight w:val="none"/>
                <w:lang w:eastAsia="zh-CN"/>
              </w:rPr>
              <w:t>（医疗器械注册证应对以上处理对象有相关描述）</w:t>
            </w:r>
          </w:p>
        </w:tc>
      </w:tr>
      <w:tr w14:paraId="18FFB72C">
        <w:tblPrEx>
          <w:tblCellMar>
            <w:top w:w="0" w:type="dxa"/>
            <w:left w:w="108" w:type="dxa"/>
            <w:bottom w:w="0" w:type="dxa"/>
            <w:right w:w="108" w:type="dxa"/>
          </w:tblCellMar>
        </w:tblPrEx>
        <w:trPr>
          <w:trHeight w:val="832" w:hRule="atLeast"/>
          <w:jc w:val="center"/>
        </w:trPr>
        <w:tc>
          <w:tcPr>
            <w:tcW w:w="1090" w:type="dxa"/>
            <w:tcBorders>
              <w:top w:val="nil"/>
              <w:left w:val="single" w:color="auto" w:sz="4" w:space="0"/>
              <w:bottom w:val="single" w:color="auto" w:sz="4" w:space="0"/>
              <w:right w:val="single" w:color="auto" w:sz="4" w:space="0"/>
            </w:tcBorders>
            <w:noWrap w:val="0"/>
            <w:vAlign w:val="center"/>
          </w:tcPr>
          <w:p w14:paraId="335BC75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15.12▲</w:t>
            </w:r>
          </w:p>
        </w:tc>
        <w:tc>
          <w:tcPr>
            <w:tcW w:w="8922" w:type="dxa"/>
            <w:tcBorders>
              <w:top w:val="nil"/>
              <w:left w:val="nil"/>
              <w:bottom w:val="single" w:color="auto" w:sz="4" w:space="0"/>
              <w:right w:val="single" w:color="auto" w:sz="4" w:space="0"/>
            </w:tcBorders>
            <w:noWrap w:val="0"/>
            <w:vAlign w:val="center"/>
          </w:tcPr>
          <w:p w14:paraId="5B98414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残肝比功能</w:t>
            </w:r>
          </w:p>
          <w:p w14:paraId="3281500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4"/>
                <w:highlight w:val="none"/>
                <w:lang w:eastAsia="zh-CN"/>
              </w:rPr>
              <w:t>（医疗器械注册证应对以上处理对象有相关描述）</w:t>
            </w:r>
          </w:p>
        </w:tc>
      </w:tr>
      <w:tr w14:paraId="2E07C386">
        <w:tblPrEx>
          <w:tblCellMar>
            <w:top w:w="0" w:type="dxa"/>
            <w:left w:w="108" w:type="dxa"/>
            <w:bottom w:w="0" w:type="dxa"/>
            <w:right w:w="108" w:type="dxa"/>
          </w:tblCellMar>
        </w:tblPrEx>
        <w:trPr>
          <w:trHeight w:val="1243" w:hRule="atLeast"/>
          <w:jc w:val="center"/>
        </w:trPr>
        <w:tc>
          <w:tcPr>
            <w:tcW w:w="1090" w:type="dxa"/>
            <w:tcBorders>
              <w:top w:val="nil"/>
              <w:left w:val="single" w:color="auto" w:sz="4" w:space="0"/>
              <w:bottom w:val="single" w:color="auto" w:sz="4" w:space="0"/>
              <w:right w:val="single" w:color="auto" w:sz="4" w:space="0"/>
            </w:tcBorders>
            <w:noWrap w:val="0"/>
            <w:vAlign w:val="center"/>
          </w:tcPr>
          <w:p w14:paraId="69935B9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w:t>
            </w:r>
          </w:p>
        </w:tc>
        <w:tc>
          <w:tcPr>
            <w:tcW w:w="8922" w:type="dxa"/>
            <w:tcBorders>
              <w:top w:val="nil"/>
              <w:left w:val="nil"/>
              <w:bottom w:val="single" w:color="auto" w:sz="4" w:space="0"/>
              <w:right w:val="single" w:color="auto" w:sz="4" w:space="0"/>
            </w:tcBorders>
            <w:noWrap w:val="0"/>
            <w:vAlign w:val="center"/>
          </w:tcPr>
          <w:p w14:paraId="5BB8433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参考工具：软件提供标准肝脏体积计算工具。作为肝相关功能的参考信息，辅助</w:t>
            </w:r>
          </w:p>
          <w:p w14:paraId="79E75DA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sz w:val="24"/>
                <w:highlight w:val="none"/>
              </w:rPr>
              <w:t>提供软件系统截图作为证明</w:t>
            </w:r>
            <w:r>
              <w:rPr>
                <w:rFonts w:hint="eastAsia" w:ascii="仿宋" w:hAnsi="仿宋" w:eastAsia="仿宋" w:cs="仿宋"/>
                <w:b/>
                <w:bCs/>
                <w:color w:val="auto"/>
                <w:sz w:val="24"/>
                <w:highlight w:val="none"/>
                <w:lang w:val="en-US" w:eastAsia="zh-CN"/>
              </w:rPr>
              <w:t>材料</w:t>
            </w:r>
          </w:p>
        </w:tc>
      </w:tr>
      <w:tr w14:paraId="4C52B801">
        <w:tblPrEx>
          <w:tblCellMar>
            <w:top w:w="0" w:type="dxa"/>
            <w:left w:w="108" w:type="dxa"/>
            <w:bottom w:w="0" w:type="dxa"/>
            <w:right w:w="108" w:type="dxa"/>
          </w:tblCellMar>
        </w:tblPrEx>
        <w:trPr>
          <w:trHeight w:val="832" w:hRule="atLeast"/>
          <w:jc w:val="center"/>
        </w:trPr>
        <w:tc>
          <w:tcPr>
            <w:tcW w:w="1090" w:type="dxa"/>
            <w:tcBorders>
              <w:top w:val="nil"/>
              <w:left w:val="single" w:color="auto" w:sz="4" w:space="0"/>
              <w:bottom w:val="single" w:color="auto" w:sz="4" w:space="0"/>
              <w:right w:val="single" w:color="auto" w:sz="4" w:space="0"/>
            </w:tcBorders>
            <w:noWrap w:val="0"/>
            <w:vAlign w:val="center"/>
          </w:tcPr>
          <w:p w14:paraId="455CF54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w:t>
            </w:r>
          </w:p>
        </w:tc>
        <w:tc>
          <w:tcPr>
            <w:tcW w:w="8922" w:type="dxa"/>
            <w:tcBorders>
              <w:top w:val="nil"/>
              <w:left w:val="nil"/>
              <w:bottom w:val="single" w:color="auto" w:sz="4" w:space="0"/>
              <w:right w:val="single" w:color="auto" w:sz="4" w:space="0"/>
            </w:tcBorders>
            <w:noWrap w:val="0"/>
            <w:vAlign w:val="center"/>
          </w:tcPr>
          <w:p w14:paraId="775D817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视图：主要是对三维视图的进行复位</w:t>
            </w:r>
          </w:p>
          <w:p w14:paraId="5A03372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sz w:val="24"/>
                <w:highlight w:val="none"/>
              </w:rPr>
              <w:t>提供软件系统截图作为证明</w:t>
            </w:r>
            <w:r>
              <w:rPr>
                <w:rFonts w:hint="eastAsia" w:ascii="仿宋" w:hAnsi="仿宋" w:eastAsia="仿宋" w:cs="仿宋"/>
                <w:b/>
                <w:bCs/>
                <w:color w:val="auto"/>
                <w:sz w:val="24"/>
                <w:highlight w:val="none"/>
                <w:lang w:val="en-US" w:eastAsia="zh-CN"/>
              </w:rPr>
              <w:t>材料</w:t>
            </w:r>
          </w:p>
        </w:tc>
      </w:tr>
      <w:tr w14:paraId="7ABA0257">
        <w:tblPrEx>
          <w:tblCellMar>
            <w:top w:w="0" w:type="dxa"/>
            <w:left w:w="108" w:type="dxa"/>
            <w:bottom w:w="0" w:type="dxa"/>
            <w:right w:w="108" w:type="dxa"/>
          </w:tblCellMar>
        </w:tblPrEx>
        <w:trPr>
          <w:trHeight w:val="1243" w:hRule="atLeast"/>
          <w:jc w:val="center"/>
        </w:trPr>
        <w:tc>
          <w:tcPr>
            <w:tcW w:w="1090" w:type="dxa"/>
            <w:tcBorders>
              <w:top w:val="nil"/>
              <w:left w:val="single" w:color="auto" w:sz="4" w:space="0"/>
              <w:bottom w:val="single" w:color="auto" w:sz="4" w:space="0"/>
              <w:right w:val="single" w:color="auto" w:sz="4" w:space="0"/>
            </w:tcBorders>
            <w:noWrap w:val="0"/>
            <w:vAlign w:val="center"/>
          </w:tcPr>
          <w:p w14:paraId="6EA5541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w:t>
            </w:r>
          </w:p>
        </w:tc>
        <w:tc>
          <w:tcPr>
            <w:tcW w:w="8922" w:type="dxa"/>
            <w:tcBorders>
              <w:top w:val="nil"/>
              <w:left w:val="nil"/>
              <w:bottom w:val="single" w:color="auto" w:sz="4" w:space="0"/>
              <w:right w:val="single" w:color="auto" w:sz="4" w:space="0"/>
            </w:tcBorders>
            <w:noWrap w:val="0"/>
            <w:vAlign w:val="center"/>
          </w:tcPr>
          <w:p w14:paraId="22332DD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裁剪：使用裁剪功能，可以从不同角度，且随意自由选择大小对模型进行裁剪以便来满足不同的临床需求</w:t>
            </w:r>
          </w:p>
          <w:p w14:paraId="014C991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sz w:val="24"/>
                <w:highlight w:val="none"/>
              </w:rPr>
              <w:t>提供软件系统截图作为证明</w:t>
            </w:r>
            <w:r>
              <w:rPr>
                <w:rFonts w:hint="eastAsia" w:ascii="仿宋" w:hAnsi="仿宋" w:eastAsia="仿宋" w:cs="仿宋"/>
                <w:b/>
                <w:bCs/>
                <w:color w:val="auto"/>
                <w:sz w:val="24"/>
                <w:highlight w:val="none"/>
                <w:lang w:val="en-US" w:eastAsia="zh-CN"/>
              </w:rPr>
              <w:t>材料</w:t>
            </w:r>
          </w:p>
        </w:tc>
      </w:tr>
      <w:tr w14:paraId="51CB7C98">
        <w:tblPrEx>
          <w:tblCellMar>
            <w:top w:w="0" w:type="dxa"/>
            <w:left w:w="108" w:type="dxa"/>
            <w:bottom w:w="0" w:type="dxa"/>
            <w:right w:w="108" w:type="dxa"/>
          </w:tblCellMar>
        </w:tblPrEx>
        <w:trPr>
          <w:trHeight w:val="1243" w:hRule="atLeast"/>
          <w:jc w:val="center"/>
        </w:trPr>
        <w:tc>
          <w:tcPr>
            <w:tcW w:w="1090" w:type="dxa"/>
            <w:tcBorders>
              <w:top w:val="nil"/>
              <w:left w:val="single" w:color="auto" w:sz="4" w:space="0"/>
              <w:bottom w:val="single" w:color="auto" w:sz="4" w:space="0"/>
              <w:right w:val="single" w:color="auto" w:sz="4" w:space="0"/>
            </w:tcBorders>
            <w:noWrap w:val="0"/>
            <w:vAlign w:val="center"/>
          </w:tcPr>
          <w:p w14:paraId="13521A4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19</w:t>
            </w:r>
          </w:p>
        </w:tc>
        <w:tc>
          <w:tcPr>
            <w:tcW w:w="8922" w:type="dxa"/>
            <w:tcBorders>
              <w:top w:val="nil"/>
              <w:left w:val="nil"/>
              <w:bottom w:val="single" w:color="auto" w:sz="4" w:space="0"/>
              <w:right w:val="single" w:color="auto" w:sz="4" w:space="0"/>
            </w:tcBorders>
            <w:noWrap w:val="0"/>
            <w:vAlign w:val="center"/>
          </w:tcPr>
          <w:p w14:paraId="0BC658F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体绘制预设：点击功能—体绘制，在功能栏内的下拉选项中选择不同窗宽窗位来实现体绘制预设</w:t>
            </w:r>
          </w:p>
          <w:p w14:paraId="32A7054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sz w:val="24"/>
                <w:highlight w:val="none"/>
              </w:rPr>
              <w:t>提供软件系统截图作为证明</w:t>
            </w:r>
            <w:r>
              <w:rPr>
                <w:rFonts w:hint="eastAsia" w:ascii="仿宋" w:hAnsi="仿宋" w:eastAsia="仿宋" w:cs="仿宋"/>
                <w:b/>
                <w:bCs/>
                <w:color w:val="auto"/>
                <w:sz w:val="24"/>
                <w:highlight w:val="none"/>
                <w:lang w:val="en-US" w:eastAsia="zh-CN"/>
              </w:rPr>
              <w:t>材料</w:t>
            </w:r>
          </w:p>
        </w:tc>
      </w:tr>
      <w:tr w14:paraId="67C9E31B">
        <w:tblPrEx>
          <w:tblCellMar>
            <w:top w:w="0" w:type="dxa"/>
            <w:left w:w="108" w:type="dxa"/>
            <w:bottom w:w="0" w:type="dxa"/>
            <w:right w:w="108" w:type="dxa"/>
          </w:tblCellMar>
        </w:tblPrEx>
        <w:trPr>
          <w:trHeight w:val="1243" w:hRule="atLeast"/>
          <w:jc w:val="center"/>
        </w:trPr>
        <w:tc>
          <w:tcPr>
            <w:tcW w:w="1090" w:type="dxa"/>
            <w:tcBorders>
              <w:top w:val="nil"/>
              <w:left w:val="single" w:color="auto" w:sz="4" w:space="0"/>
              <w:bottom w:val="single" w:color="auto" w:sz="4" w:space="0"/>
              <w:right w:val="single" w:color="auto" w:sz="4" w:space="0"/>
            </w:tcBorders>
            <w:noWrap w:val="0"/>
            <w:vAlign w:val="center"/>
          </w:tcPr>
          <w:p w14:paraId="1F448AC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20▲</w:t>
            </w:r>
          </w:p>
        </w:tc>
        <w:tc>
          <w:tcPr>
            <w:tcW w:w="8922" w:type="dxa"/>
            <w:tcBorders>
              <w:top w:val="nil"/>
              <w:left w:val="nil"/>
              <w:bottom w:val="single" w:color="auto" w:sz="4" w:space="0"/>
              <w:right w:val="single" w:color="auto" w:sz="4" w:space="0"/>
            </w:tcBorders>
            <w:noWrap w:val="0"/>
            <w:vAlign w:val="center"/>
          </w:tcPr>
          <w:p w14:paraId="6C20B19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体面绘融合：体绘制模型和3D电脑模型同时显示，便于面绘制与体绘制模型相互校准</w:t>
            </w:r>
          </w:p>
          <w:p w14:paraId="735F3E0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4"/>
                <w:highlight w:val="none"/>
                <w:lang w:eastAsia="zh-CN"/>
              </w:rPr>
              <w:t>（医疗器械注册证应对以上处理对象有相关描述）</w:t>
            </w:r>
          </w:p>
        </w:tc>
      </w:tr>
      <w:tr w14:paraId="27A87E38">
        <w:tblPrEx>
          <w:tblCellMar>
            <w:top w:w="0" w:type="dxa"/>
            <w:left w:w="108" w:type="dxa"/>
            <w:bottom w:w="0" w:type="dxa"/>
            <w:right w:w="108" w:type="dxa"/>
          </w:tblCellMar>
        </w:tblPrEx>
        <w:trPr>
          <w:trHeight w:val="832" w:hRule="atLeast"/>
          <w:jc w:val="center"/>
        </w:trPr>
        <w:tc>
          <w:tcPr>
            <w:tcW w:w="1090" w:type="dxa"/>
            <w:tcBorders>
              <w:top w:val="nil"/>
              <w:left w:val="single" w:color="auto" w:sz="4" w:space="0"/>
              <w:bottom w:val="single" w:color="auto" w:sz="4" w:space="0"/>
              <w:right w:val="single" w:color="auto" w:sz="4" w:space="0"/>
            </w:tcBorders>
            <w:noWrap w:val="0"/>
            <w:vAlign w:val="center"/>
          </w:tcPr>
          <w:p w14:paraId="1D4F2DE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w:t>
            </w:r>
          </w:p>
        </w:tc>
        <w:tc>
          <w:tcPr>
            <w:tcW w:w="8922" w:type="dxa"/>
            <w:tcBorders>
              <w:top w:val="nil"/>
              <w:left w:val="nil"/>
              <w:bottom w:val="single" w:color="auto" w:sz="4" w:space="0"/>
              <w:right w:val="single" w:color="auto" w:sz="4" w:space="0"/>
            </w:tcBorders>
            <w:noWrap w:val="0"/>
            <w:vAlign w:val="center"/>
          </w:tcPr>
          <w:p w14:paraId="6B3A389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支持远程医学影像大数据处理：用于数据上传与处理后数据的下载</w:t>
            </w:r>
          </w:p>
          <w:p w14:paraId="1DFCFF3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sz w:val="24"/>
                <w:highlight w:val="none"/>
              </w:rPr>
              <w:t>提供软件系统截图作为证明</w:t>
            </w:r>
            <w:r>
              <w:rPr>
                <w:rFonts w:hint="eastAsia" w:ascii="仿宋" w:hAnsi="仿宋" w:eastAsia="仿宋" w:cs="仿宋"/>
                <w:b/>
                <w:bCs/>
                <w:color w:val="auto"/>
                <w:sz w:val="24"/>
                <w:highlight w:val="none"/>
                <w:lang w:val="en-US" w:eastAsia="zh-CN"/>
              </w:rPr>
              <w:t>材料</w:t>
            </w:r>
          </w:p>
        </w:tc>
      </w:tr>
      <w:tr w14:paraId="01EF10A8">
        <w:tblPrEx>
          <w:tblCellMar>
            <w:top w:w="0" w:type="dxa"/>
            <w:left w:w="108" w:type="dxa"/>
            <w:bottom w:w="0" w:type="dxa"/>
            <w:right w:w="108" w:type="dxa"/>
          </w:tblCellMar>
        </w:tblPrEx>
        <w:trPr>
          <w:trHeight w:val="841" w:hRule="atLeast"/>
          <w:jc w:val="center"/>
        </w:trPr>
        <w:tc>
          <w:tcPr>
            <w:tcW w:w="1090" w:type="dxa"/>
            <w:tcBorders>
              <w:top w:val="nil"/>
              <w:left w:val="single" w:color="auto" w:sz="4" w:space="0"/>
              <w:bottom w:val="single" w:color="auto" w:sz="4" w:space="0"/>
              <w:right w:val="single" w:color="auto" w:sz="4" w:space="0"/>
            </w:tcBorders>
            <w:noWrap w:val="0"/>
            <w:vAlign w:val="center"/>
          </w:tcPr>
          <w:p w14:paraId="6A92E49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22</w:t>
            </w:r>
          </w:p>
        </w:tc>
        <w:tc>
          <w:tcPr>
            <w:tcW w:w="8922" w:type="dxa"/>
            <w:tcBorders>
              <w:top w:val="nil"/>
              <w:left w:val="nil"/>
              <w:bottom w:val="single" w:color="auto" w:sz="4" w:space="0"/>
              <w:right w:val="single" w:color="auto" w:sz="4" w:space="0"/>
            </w:tcBorders>
            <w:noWrap w:val="0"/>
            <w:vAlign w:val="center"/>
          </w:tcPr>
          <w:p w14:paraId="422CE1D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支持二维码医学影像阅片功能，支持移动端高效精准用户体验</w:t>
            </w:r>
          </w:p>
          <w:p w14:paraId="438E3B4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sz w:val="24"/>
                <w:highlight w:val="none"/>
              </w:rPr>
              <w:t>提供软件系统截图作为证明</w:t>
            </w:r>
            <w:r>
              <w:rPr>
                <w:rFonts w:hint="eastAsia" w:ascii="仿宋" w:hAnsi="仿宋" w:eastAsia="仿宋" w:cs="仿宋"/>
                <w:b/>
                <w:bCs/>
                <w:color w:val="auto"/>
                <w:sz w:val="24"/>
                <w:highlight w:val="none"/>
                <w:lang w:val="en-US" w:eastAsia="zh-CN"/>
              </w:rPr>
              <w:t>材料</w:t>
            </w:r>
          </w:p>
        </w:tc>
      </w:tr>
    </w:tbl>
    <w:p w14:paraId="47A907AB">
      <w:pPr>
        <w:pStyle w:val="4"/>
        <w:rPr>
          <w:rFonts w:hint="eastAsia" w:ascii="仿宋" w:hAnsi="仿宋" w:eastAsia="仿宋" w:cs="仿宋"/>
          <w:b/>
          <w:bCs/>
          <w:color w:val="auto"/>
          <w:sz w:val="24"/>
          <w:highlight w:val="none"/>
        </w:rPr>
      </w:pPr>
    </w:p>
    <w:p w14:paraId="4333851C">
      <w:pPr>
        <w:pStyle w:val="8"/>
        <w:keepNext w:val="0"/>
        <w:keepLines w:val="0"/>
        <w:pageBreakBefore w:val="0"/>
        <w:widowControl w:val="0"/>
        <w:kinsoku/>
        <w:wordWrap/>
        <w:overflowPunct/>
        <w:topLinePunct w:val="0"/>
        <w:autoSpaceDE/>
        <w:autoSpaceDN/>
        <w:bidi w:val="0"/>
        <w:adjustRightInd/>
        <w:snapToGrid/>
        <w:spacing w:before="157" w:beforeLines="50"/>
        <w:ind w:right="0"/>
        <w:textAlignment w:val="auto"/>
        <w:outlineLvl w:val="9"/>
        <w:rPr>
          <w:rFonts w:hint="eastAsia" w:ascii="仿宋" w:hAnsi="仿宋" w:eastAsia="仿宋" w:cs="仿宋"/>
          <w:b/>
          <w:bCs/>
          <w:color w:val="000000"/>
          <w:kern w:val="0"/>
          <w:sz w:val="28"/>
          <w:szCs w:val="28"/>
          <w:highlight w:val="none"/>
          <w:lang w:val="en-US" w:eastAsia="zh-CN" w:bidi="zh-CN"/>
        </w:rPr>
      </w:pPr>
      <w:r>
        <w:rPr>
          <w:rFonts w:hint="eastAsia" w:ascii="仿宋" w:hAnsi="仿宋" w:eastAsia="仿宋" w:cs="仿宋"/>
          <w:b/>
          <w:bCs/>
          <w:color w:val="000000"/>
          <w:kern w:val="0"/>
          <w:sz w:val="28"/>
          <w:szCs w:val="28"/>
          <w:highlight w:val="none"/>
          <w:lang w:val="en-US" w:eastAsia="zh-CN" w:bidi="zh-CN"/>
        </w:rPr>
        <w:t>注：</w:t>
      </w:r>
    </w:p>
    <w:p w14:paraId="4DDF3948">
      <w:pPr>
        <w:pStyle w:val="8"/>
        <w:keepNext w:val="0"/>
        <w:keepLines w:val="0"/>
        <w:pageBreakBefore w:val="0"/>
        <w:widowControl w:val="0"/>
        <w:kinsoku/>
        <w:wordWrap/>
        <w:overflowPunct/>
        <w:topLinePunct w:val="0"/>
        <w:autoSpaceDE/>
        <w:autoSpaceDN/>
        <w:bidi w:val="0"/>
        <w:adjustRightInd/>
        <w:snapToGrid/>
        <w:spacing w:after="0" w:line="400" w:lineRule="exact"/>
        <w:ind w:right="0"/>
        <w:textAlignment w:val="auto"/>
        <w:outlineLvl w:val="9"/>
        <w:rPr>
          <w:rFonts w:hint="eastAsia" w:ascii="仿宋" w:hAnsi="仿宋" w:eastAsia="仿宋" w:cs="仿宋"/>
          <w:b/>
          <w:bCs/>
          <w:color w:val="000000"/>
          <w:kern w:val="0"/>
          <w:sz w:val="28"/>
          <w:szCs w:val="28"/>
          <w:highlight w:val="none"/>
          <w:lang w:val="en-US" w:eastAsia="zh-CN" w:bidi="zh-CN"/>
        </w:rPr>
      </w:pPr>
      <w:r>
        <w:rPr>
          <w:rFonts w:hint="eastAsia" w:ascii="仿宋" w:hAnsi="仿宋" w:eastAsia="仿宋" w:cs="仿宋"/>
          <w:b/>
          <w:bCs/>
          <w:color w:val="000000"/>
          <w:kern w:val="0"/>
          <w:sz w:val="28"/>
          <w:szCs w:val="28"/>
          <w:highlight w:val="none"/>
          <w:lang w:val="en-US" w:eastAsia="zh-CN" w:bidi="zh-CN"/>
        </w:rPr>
        <w:t>1、标注“</w:t>
      </w:r>
      <w:r>
        <w:rPr>
          <w:rFonts w:hint="eastAsia" w:ascii="仿宋" w:hAnsi="仿宋" w:eastAsia="仿宋" w:cs="仿宋"/>
          <w:b/>
          <w:bCs w:val="0"/>
          <w:sz w:val="28"/>
          <w:szCs w:val="28"/>
          <w:highlight w:val="none"/>
        </w:rPr>
        <w:t>▲</w:t>
      </w:r>
      <w:r>
        <w:rPr>
          <w:rFonts w:hint="eastAsia" w:ascii="仿宋" w:hAnsi="仿宋" w:eastAsia="仿宋" w:cs="仿宋"/>
          <w:b/>
          <w:bCs/>
          <w:color w:val="000000"/>
          <w:kern w:val="0"/>
          <w:sz w:val="28"/>
          <w:szCs w:val="28"/>
          <w:highlight w:val="none"/>
          <w:lang w:val="en-US" w:eastAsia="zh-CN" w:bidi="zh-CN"/>
        </w:rPr>
        <w:t>”号为关键性参数, 未标注“</w:t>
      </w:r>
      <w:r>
        <w:rPr>
          <w:rFonts w:hint="eastAsia" w:ascii="仿宋" w:hAnsi="仿宋" w:eastAsia="仿宋" w:cs="仿宋"/>
          <w:b/>
          <w:bCs w:val="0"/>
          <w:sz w:val="28"/>
          <w:szCs w:val="28"/>
          <w:highlight w:val="none"/>
        </w:rPr>
        <w:t>▲</w:t>
      </w:r>
      <w:r>
        <w:rPr>
          <w:rFonts w:hint="eastAsia" w:ascii="仿宋" w:hAnsi="仿宋" w:eastAsia="仿宋" w:cs="仿宋"/>
          <w:b/>
          <w:bCs/>
          <w:color w:val="000000"/>
          <w:kern w:val="0"/>
          <w:sz w:val="28"/>
          <w:szCs w:val="28"/>
          <w:highlight w:val="none"/>
          <w:lang w:val="en-US" w:eastAsia="zh-CN" w:bidi="zh-CN"/>
        </w:rPr>
        <w:t>”号的参数为非关键性参数（具体实施办法详见评分办法）。</w:t>
      </w:r>
    </w:p>
    <w:p w14:paraId="7E343B24">
      <w:pPr>
        <w:pStyle w:val="8"/>
        <w:keepNext w:val="0"/>
        <w:keepLines w:val="0"/>
        <w:pageBreakBefore w:val="0"/>
        <w:widowControl w:val="0"/>
        <w:kinsoku/>
        <w:wordWrap/>
        <w:overflowPunct/>
        <w:topLinePunct w:val="0"/>
        <w:autoSpaceDE/>
        <w:autoSpaceDN/>
        <w:bidi w:val="0"/>
        <w:adjustRightInd/>
        <w:snapToGrid/>
        <w:spacing w:after="0" w:line="400" w:lineRule="exact"/>
        <w:ind w:right="0"/>
        <w:textAlignment w:val="auto"/>
        <w:outlineLvl w:val="9"/>
        <w:rPr>
          <w:rFonts w:hint="eastAsia" w:ascii="仿宋" w:hAnsi="仿宋" w:eastAsia="仿宋" w:cs="仿宋"/>
          <w:b/>
          <w:bCs/>
          <w:color w:val="000000"/>
          <w:kern w:val="0"/>
          <w:sz w:val="28"/>
          <w:szCs w:val="28"/>
          <w:highlight w:val="none"/>
          <w:lang w:val="en-US" w:eastAsia="zh-CN" w:bidi="zh-CN"/>
        </w:rPr>
      </w:pPr>
      <w:r>
        <w:rPr>
          <w:rFonts w:hint="eastAsia" w:ascii="仿宋" w:hAnsi="仿宋" w:eastAsia="仿宋" w:cs="仿宋"/>
          <w:b/>
          <w:bCs/>
          <w:color w:val="000000"/>
          <w:kern w:val="0"/>
          <w:sz w:val="28"/>
          <w:szCs w:val="28"/>
          <w:highlight w:val="none"/>
          <w:lang w:val="en-US" w:eastAsia="zh-CN" w:bidi="zh-CN"/>
        </w:rPr>
        <w:t>2、参数要求需提供相关证明或按技术要求提供证明材料。未提供视为关键性参数负偏离。</w:t>
      </w:r>
    </w:p>
    <w:p w14:paraId="6529443C">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cs="Times New Roman"/>
          <w:sz w:val="28"/>
          <w:highlight w:val="none"/>
          <w:lang w:val="en-US" w:eastAsia="zh-CN"/>
        </w:rPr>
      </w:pPr>
    </w:p>
    <w:p w14:paraId="2C7E60D2">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br w:type="page"/>
      </w:r>
    </w:p>
    <w:p w14:paraId="7923DF83">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采购合同书（参考）</w:t>
      </w:r>
    </w:p>
    <w:p w14:paraId="6B9513EF">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14:paraId="140E0AC8">
      <w:pPr>
        <w:keepNext w:val="0"/>
        <w:keepLines w:val="0"/>
        <w:pageBreakBefore w:val="0"/>
        <w:widowControl w:val="0"/>
        <w:tabs>
          <w:tab w:val="left" w:pos="1260"/>
          <w:tab w:val="left" w:pos="3240"/>
        </w:tabs>
        <w:kinsoku/>
        <w:wordWrap/>
        <w:overflowPunct/>
        <w:topLinePunct w:val="0"/>
        <w:autoSpaceDE/>
        <w:autoSpaceDN/>
        <w:bidi w:val="0"/>
        <w:adjustRightInd w:val="0"/>
        <w:snapToGrid w:val="0"/>
        <w:spacing w:line="420" w:lineRule="exact"/>
        <w:textAlignment w:val="auto"/>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rPr>
        <w:t xml:space="preserve"> </w:t>
      </w:r>
    </w:p>
    <w:p w14:paraId="609BE404">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14:paraId="3AC9EB32">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14:paraId="1AAA88B7">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经</w:t>
      </w:r>
      <w:r>
        <w:rPr>
          <w:rFonts w:hint="eastAsia" w:ascii="仿宋" w:hAnsi="仿宋" w:eastAsia="仿宋"/>
          <w:sz w:val="28"/>
          <w:szCs w:val="28"/>
          <w:highlight w:val="none"/>
        </w:rPr>
        <w:t>甲乙双方最</w:t>
      </w:r>
      <w:r>
        <w:rPr>
          <w:rFonts w:ascii="仿宋" w:hAnsi="仿宋" w:eastAsia="仿宋"/>
          <w:sz w:val="28"/>
          <w:szCs w:val="28"/>
          <w:highlight w:val="none"/>
        </w:rPr>
        <w:t>终审</w:t>
      </w:r>
      <w:r>
        <w:rPr>
          <w:rFonts w:hint="eastAsia" w:ascii="仿宋" w:hAnsi="仿宋" w:eastAsia="仿宋"/>
          <w:sz w:val="28"/>
          <w:szCs w:val="28"/>
          <w:highlight w:val="none"/>
        </w:rPr>
        <w:t>查，甲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14:paraId="62591C2F">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2" w:firstLineChars="200"/>
        <w:textAlignment w:val="auto"/>
        <w:rPr>
          <w:rFonts w:hint="eastAsia" w:ascii="仿宋" w:hAnsi="仿宋" w:eastAsia="仿宋"/>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、本合同不可分割部分</w:t>
      </w:r>
    </w:p>
    <w:p w14:paraId="47B37ED5">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）采</w:t>
      </w:r>
      <w:r>
        <w:rPr>
          <w:rFonts w:ascii="仿宋" w:hAnsi="仿宋" w:eastAsia="仿宋"/>
          <w:sz w:val="28"/>
          <w:szCs w:val="28"/>
          <w:highlight w:val="none"/>
        </w:rPr>
        <w:t>购</w:t>
      </w:r>
      <w:r>
        <w:rPr>
          <w:rFonts w:hint="eastAsia" w:ascii="仿宋" w:hAnsi="仿宋" w:eastAsia="仿宋"/>
          <w:sz w:val="28"/>
          <w:szCs w:val="28"/>
          <w:highlight w:val="none"/>
        </w:rPr>
        <w:t>合同</w:t>
      </w:r>
      <w:r>
        <w:rPr>
          <w:rFonts w:ascii="仿宋" w:hAnsi="仿宋" w:eastAsia="仿宋"/>
          <w:sz w:val="28"/>
          <w:szCs w:val="28"/>
          <w:highlight w:val="none"/>
        </w:rPr>
        <w:t>书</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）合同</w:t>
      </w:r>
      <w:r>
        <w:rPr>
          <w:rFonts w:ascii="仿宋" w:hAnsi="仿宋" w:eastAsia="仿宋"/>
          <w:sz w:val="28"/>
          <w:szCs w:val="28"/>
          <w:highlight w:val="none"/>
        </w:rPr>
        <w:t>条</w:t>
      </w:r>
      <w:r>
        <w:rPr>
          <w:rFonts w:hint="eastAsia" w:ascii="仿宋" w:hAnsi="仿宋" w:eastAsia="仿宋"/>
          <w:sz w:val="28"/>
          <w:szCs w:val="28"/>
          <w:highlight w:val="none"/>
        </w:rPr>
        <w:t xml:space="preserve">款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w:t>
      </w:r>
      <w:r>
        <w:rPr>
          <w:rFonts w:hint="eastAsia" w:ascii="仿宋" w:hAnsi="仿宋" w:eastAsia="仿宋"/>
          <w:sz w:val="28"/>
          <w:szCs w:val="28"/>
          <w:highlight w:val="none"/>
          <w:lang w:eastAsia="zh-CN"/>
        </w:rPr>
        <w:t>响应文件</w:t>
      </w:r>
    </w:p>
    <w:p w14:paraId="5FB06ED6">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4</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竞争性磋商</w:t>
      </w:r>
      <w:r>
        <w:rPr>
          <w:rFonts w:hint="eastAsia" w:ascii="仿宋" w:hAnsi="仿宋" w:eastAsia="仿宋"/>
          <w:sz w:val="28"/>
          <w:szCs w:val="28"/>
          <w:highlight w:val="none"/>
        </w:rPr>
        <w:t>文件（</w:t>
      </w:r>
      <w:r>
        <w:rPr>
          <w:rFonts w:ascii="仿宋" w:hAnsi="仿宋" w:eastAsia="仿宋"/>
          <w:sz w:val="28"/>
          <w:szCs w:val="28"/>
          <w:highlight w:val="none"/>
        </w:rPr>
        <w:t>5</w:t>
      </w:r>
      <w:r>
        <w:rPr>
          <w:rFonts w:hint="eastAsia" w:ascii="仿宋" w:hAnsi="仿宋" w:eastAsia="仿宋"/>
          <w:sz w:val="28"/>
          <w:szCs w:val="28"/>
          <w:highlight w:val="none"/>
        </w:rPr>
        <w:t>）供应商的</w:t>
      </w:r>
      <w:r>
        <w:rPr>
          <w:rFonts w:ascii="仿宋" w:hAnsi="仿宋" w:eastAsia="仿宋"/>
          <w:sz w:val="28"/>
          <w:szCs w:val="28"/>
          <w:highlight w:val="none"/>
        </w:rPr>
        <w:t>书</w:t>
      </w:r>
      <w:r>
        <w:rPr>
          <w:rFonts w:hint="eastAsia" w:ascii="仿宋" w:hAnsi="仿宋" w:eastAsia="仿宋"/>
          <w:sz w:val="28"/>
          <w:szCs w:val="28"/>
          <w:highlight w:val="none"/>
        </w:rPr>
        <w:t>面承</w:t>
      </w:r>
      <w:r>
        <w:rPr>
          <w:rFonts w:ascii="仿宋" w:hAnsi="仿宋" w:eastAsia="仿宋"/>
          <w:sz w:val="28"/>
          <w:szCs w:val="28"/>
          <w:highlight w:val="none"/>
        </w:rPr>
        <w:t>诺</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6</w:t>
      </w:r>
      <w:r>
        <w:rPr>
          <w:rFonts w:hint="eastAsia" w:ascii="仿宋" w:hAnsi="仿宋" w:eastAsia="仿宋"/>
          <w:sz w:val="28"/>
          <w:szCs w:val="28"/>
          <w:highlight w:val="none"/>
        </w:rPr>
        <w:t>）</w:t>
      </w:r>
      <w:r>
        <w:rPr>
          <w:rFonts w:hint="eastAsia" w:ascii="仿宋" w:hAnsi="仿宋" w:eastAsia="仿宋"/>
          <w:sz w:val="28"/>
          <w:szCs w:val="28"/>
          <w:highlight w:val="none"/>
          <w:lang w:eastAsia="zh-CN"/>
        </w:rPr>
        <w:t>成交通知书</w:t>
      </w:r>
    </w:p>
    <w:p w14:paraId="13C39496">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7）标</w:t>
      </w:r>
      <w:r>
        <w:rPr>
          <w:rFonts w:hint="eastAsia" w:ascii="仿宋" w:hAnsi="仿宋" w:eastAsia="仿宋"/>
          <w:sz w:val="28"/>
          <w:szCs w:val="28"/>
          <w:highlight w:val="none"/>
        </w:rPr>
        <w:t>准</w:t>
      </w:r>
      <w:r>
        <w:rPr>
          <w:rFonts w:ascii="仿宋" w:hAnsi="仿宋" w:eastAsia="仿宋"/>
          <w:sz w:val="28"/>
          <w:szCs w:val="28"/>
          <w:highlight w:val="none"/>
        </w:rPr>
        <w:t>规</w:t>
      </w:r>
      <w:r>
        <w:rPr>
          <w:rFonts w:hint="eastAsia" w:ascii="仿宋" w:hAnsi="仿宋" w:eastAsia="仿宋"/>
          <w:sz w:val="28"/>
          <w:szCs w:val="28"/>
          <w:highlight w:val="none"/>
        </w:rPr>
        <w:t>范及有</w:t>
      </w:r>
      <w:r>
        <w:rPr>
          <w:rFonts w:ascii="仿宋" w:hAnsi="仿宋" w:eastAsia="仿宋"/>
          <w:sz w:val="28"/>
          <w:szCs w:val="28"/>
          <w:highlight w:val="none"/>
        </w:rPr>
        <w:t>关</w:t>
      </w:r>
      <w:r>
        <w:rPr>
          <w:rFonts w:hint="eastAsia" w:ascii="仿宋" w:hAnsi="仿宋" w:eastAsia="仿宋"/>
          <w:sz w:val="28"/>
          <w:szCs w:val="28"/>
          <w:highlight w:val="none"/>
        </w:rPr>
        <w:t>技</w:t>
      </w:r>
      <w:r>
        <w:rPr>
          <w:rFonts w:ascii="仿宋" w:hAnsi="仿宋" w:eastAsia="仿宋"/>
          <w:sz w:val="28"/>
          <w:szCs w:val="28"/>
          <w:highlight w:val="none"/>
        </w:rPr>
        <w:t>术</w:t>
      </w:r>
      <w:r>
        <w:rPr>
          <w:rFonts w:hint="eastAsia" w:ascii="仿宋" w:hAnsi="仿宋" w:eastAsia="仿宋"/>
          <w:sz w:val="28"/>
          <w:szCs w:val="28"/>
          <w:highlight w:val="none"/>
        </w:rPr>
        <w:t>文件</w:t>
      </w:r>
    </w:p>
    <w:p w14:paraId="4A35D4EA">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2</w:t>
      </w:r>
      <w:r>
        <w:rPr>
          <w:rFonts w:hint="eastAsia" w:ascii="仿宋" w:hAnsi="仿宋" w:eastAsia="仿宋"/>
          <w:b/>
          <w:bCs/>
          <w:sz w:val="28"/>
          <w:szCs w:val="28"/>
          <w:highlight w:val="none"/>
        </w:rPr>
        <w:t>、服务内容</w:t>
      </w:r>
    </w:p>
    <w:p w14:paraId="615715DF">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（1）提供预估800个部位的三维医学影像手术计划数据处理服务，按照实际服务数量计取服务费用；</w:t>
      </w:r>
    </w:p>
    <w:p w14:paraId="4F03DA3A">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（2）提供基于符合DICOM标准的医学图像CT及MR数据的三维医学影像手术计划数据处理服务，内涵3D可视化模型重建+三维重建说明。辅助术前诊断、术中指导及术后评估。</w:t>
      </w:r>
    </w:p>
    <w:p w14:paraId="55EC3499">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服务科室范围：提供三维医学影像手术计划数据处理服务的服务范围包含但不限于肝胆外科、胸外科、神经外科、乳腺外科、头颈外科、妇产科、泌尿外科、胃肠外科、心外科、骨外科等影像处理。乙方须提供包含但不限于能服务以上各科室数据处理的质量标准：包含数据进场、交付标准。未按要求提供的甲方有权终止合同。</w:t>
      </w:r>
    </w:p>
    <w:p w14:paraId="4E519158">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2" w:firstLineChars="200"/>
        <w:textAlignment w:val="auto"/>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3</w:t>
      </w:r>
      <w:r>
        <w:rPr>
          <w:rFonts w:hint="eastAsia" w:ascii="仿宋" w:hAnsi="仿宋" w:eastAsia="仿宋"/>
          <w:b/>
          <w:bCs/>
          <w:sz w:val="28"/>
          <w:szCs w:val="28"/>
          <w:highlight w:val="none"/>
        </w:rPr>
        <w:t>、合同</w:t>
      </w:r>
      <w:r>
        <w:rPr>
          <w:rFonts w:hint="eastAsia" w:ascii="仿宋" w:hAnsi="仿宋" w:eastAsia="仿宋"/>
          <w:b/>
          <w:bCs/>
          <w:sz w:val="28"/>
          <w:szCs w:val="28"/>
          <w:highlight w:val="none"/>
          <w:lang w:val="en-US" w:eastAsia="zh-CN"/>
        </w:rPr>
        <w:t>价款</w:t>
      </w:r>
    </w:p>
    <w:p w14:paraId="45389A9C">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本合同成交费率为大写：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，小写：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w:t>
      </w:r>
    </w:p>
    <w:p w14:paraId="359DBFF2">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2" w:firstLineChars="200"/>
        <w:textAlignment w:val="auto"/>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4、合同履行期限及服务响应期</w:t>
      </w:r>
    </w:p>
    <w:p w14:paraId="3F14469F">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（1）合同履行期限：</w:t>
      </w:r>
    </w:p>
    <w:p w14:paraId="257A758F">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（2）服务响应期：</w:t>
      </w:r>
    </w:p>
    <w:p w14:paraId="4A9396BF">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2" w:firstLineChars="200"/>
        <w:textAlignment w:val="auto"/>
        <w:rPr>
          <w:rFonts w:hint="eastAsia" w:ascii="仿宋" w:hAnsi="仿宋" w:eastAsia="仿宋"/>
          <w:b/>
          <w:bCs/>
          <w:sz w:val="28"/>
          <w:szCs w:val="28"/>
          <w:highlight w:val="none"/>
          <w:lang w:eastAsia="zh-CN"/>
        </w:rPr>
      </w:pPr>
      <w:r>
        <w:rPr>
          <w:rFonts w:hint="eastAsia" w:ascii="仿宋" w:hAnsi="仿宋" w:eastAsia="仿宋"/>
          <w:b/>
          <w:bCs/>
          <w:sz w:val="28"/>
          <w:szCs w:val="28"/>
          <w:highlight w:val="none"/>
          <w:lang w:val="en-US" w:eastAsia="zh-CN"/>
        </w:rPr>
        <w:t>5</w:t>
      </w:r>
      <w:r>
        <w:rPr>
          <w:rFonts w:hint="eastAsia" w:ascii="仿宋" w:hAnsi="仿宋" w:eastAsia="仿宋"/>
          <w:b/>
          <w:bCs/>
          <w:sz w:val="28"/>
          <w:szCs w:val="28"/>
          <w:highlight w:val="none"/>
        </w:rPr>
        <w:t>、</w:t>
      </w:r>
      <w:r>
        <w:rPr>
          <w:rFonts w:hint="eastAsia" w:ascii="仿宋" w:hAnsi="仿宋" w:eastAsia="仿宋"/>
          <w:b/>
          <w:bCs/>
          <w:sz w:val="28"/>
          <w:szCs w:val="28"/>
          <w:highlight w:val="none"/>
          <w:lang w:val="en-US" w:eastAsia="zh-CN"/>
        </w:rPr>
        <w:t>付款方式：</w:t>
      </w:r>
      <w:r>
        <w:rPr>
          <w:rFonts w:hint="eastAsia" w:ascii="仿宋" w:hAnsi="仿宋" w:eastAsia="仿宋"/>
          <w:b/>
          <w:bCs/>
          <w:sz w:val="28"/>
          <w:szCs w:val="28"/>
          <w:highlight w:val="none"/>
          <w:lang w:eastAsia="zh-CN"/>
        </w:rPr>
        <w:t>每季度按照实际服务数量计取服务费用，次月全额无息支付。</w:t>
      </w:r>
    </w:p>
    <w:p w14:paraId="7A659533">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2" w:firstLineChars="200"/>
        <w:textAlignment w:val="auto"/>
        <w:rPr>
          <w:rFonts w:hint="eastAsia" w:ascii="仿宋" w:hAnsi="仿宋" w:eastAsia="仿宋"/>
          <w:b/>
          <w:bCs/>
          <w:sz w:val="28"/>
          <w:szCs w:val="28"/>
          <w:highlight w:val="none"/>
          <w:lang w:eastAsia="zh-CN"/>
        </w:rPr>
      </w:pPr>
      <w:r>
        <w:rPr>
          <w:rFonts w:hint="eastAsia" w:ascii="仿宋" w:hAnsi="仿宋" w:eastAsia="仿宋"/>
          <w:b/>
          <w:bCs/>
          <w:sz w:val="28"/>
          <w:szCs w:val="28"/>
          <w:highlight w:val="none"/>
          <w:lang w:eastAsia="zh-CN"/>
        </w:rPr>
        <w:t>服务费用=实际服务数量*医院收费标准*成交费率</w:t>
      </w:r>
    </w:p>
    <w:p w14:paraId="125065B3">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6、</w:t>
      </w:r>
      <w:r>
        <w:rPr>
          <w:rFonts w:hint="eastAsia" w:ascii="仿宋" w:hAnsi="仿宋" w:eastAsia="仿宋"/>
          <w:b/>
          <w:bCs/>
          <w:sz w:val="28"/>
          <w:szCs w:val="28"/>
          <w:highlight w:val="none"/>
        </w:rPr>
        <w:t>技</w:t>
      </w:r>
      <w:r>
        <w:rPr>
          <w:rFonts w:ascii="仿宋" w:hAnsi="仿宋" w:eastAsia="仿宋"/>
          <w:b/>
          <w:bCs/>
          <w:sz w:val="28"/>
          <w:szCs w:val="28"/>
          <w:highlight w:val="none"/>
        </w:rPr>
        <w:t>术规</w:t>
      </w:r>
      <w:r>
        <w:rPr>
          <w:rFonts w:hint="eastAsia" w:ascii="仿宋" w:hAnsi="仿宋" w:eastAsia="仿宋"/>
          <w:b/>
          <w:bCs/>
          <w:sz w:val="28"/>
          <w:szCs w:val="28"/>
          <w:highlight w:val="none"/>
        </w:rPr>
        <w:t>范</w:t>
      </w:r>
    </w:p>
    <w:p w14:paraId="058070A3">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提交货物的技</w:t>
      </w:r>
      <w:r>
        <w:rPr>
          <w:rFonts w:ascii="仿宋" w:hAnsi="仿宋" w:eastAsia="仿宋"/>
          <w:sz w:val="28"/>
          <w:szCs w:val="28"/>
          <w:highlight w:val="none"/>
        </w:rPr>
        <w:t>术规</w:t>
      </w:r>
      <w:r>
        <w:rPr>
          <w:rFonts w:hint="eastAsia" w:ascii="仿宋" w:hAnsi="仿宋" w:eastAsia="仿宋"/>
          <w:sz w:val="28"/>
          <w:szCs w:val="28"/>
          <w:highlight w:val="none"/>
        </w:rPr>
        <w:t>范</w:t>
      </w:r>
      <w:r>
        <w:rPr>
          <w:rFonts w:ascii="仿宋" w:hAnsi="仿宋" w:eastAsia="仿宋"/>
          <w:sz w:val="28"/>
          <w:szCs w:val="28"/>
          <w:highlight w:val="none"/>
        </w:rPr>
        <w:t>应</w:t>
      </w:r>
      <w:r>
        <w:rPr>
          <w:rFonts w:hint="eastAsia" w:ascii="仿宋" w:hAnsi="仿宋" w:eastAsia="仿宋"/>
          <w:sz w:val="28"/>
          <w:szCs w:val="28"/>
          <w:highlight w:val="none"/>
        </w:rPr>
        <w:t>与</w:t>
      </w:r>
      <w:r>
        <w:rPr>
          <w:rFonts w:hint="eastAsia" w:ascii="仿宋" w:hAnsi="仿宋" w:eastAsia="仿宋"/>
          <w:sz w:val="28"/>
          <w:szCs w:val="28"/>
          <w:highlight w:val="none"/>
          <w:lang w:eastAsia="zh-CN"/>
        </w:rPr>
        <w:t>响应文件</w:t>
      </w:r>
      <w:r>
        <w:rPr>
          <w:rFonts w:hint="eastAsia" w:ascii="仿宋" w:hAnsi="仿宋" w:eastAsia="仿宋"/>
          <w:sz w:val="28"/>
          <w:szCs w:val="28"/>
          <w:highlight w:val="none"/>
        </w:rPr>
        <w:t>一致。若技</w:t>
      </w:r>
      <w:r>
        <w:rPr>
          <w:rFonts w:ascii="仿宋" w:hAnsi="仿宋" w:eastAsia="仿宋"/>
          <w:sz w:val="28"/>
          <w:szCs w:val="28"/>
          <w:highlight w:val="none"/>
        </w:rPr>
        <w:t>术规</w:t>
      </w:r>
      <w:r>
        <w:rPr>
          <w:rFonts w:hint="eastAsia" w:ascii="仿宋" w:hAnsi="仿宋" w:eastAsia="仿宋"/>
          <w:sz w:val="28"/>
          <w:szCs w:val="28"/>
          <w:highlight w:val="none"/>
        </w:rPr>
        <w:t>范中</w:t>
      </w:r>
      <w:r>
        <w:rPr>
          <w:rFonts w:ascii="仿宋" w:hAnsi="仿宋" w:eastAsia="仿宋"/>
          <w:sz w:val="28"/>
          <w:szCs w:val="28"/>
          <w:highlight w:val="none"/>
        </w:rPr>
        <w:t>无</w:t>
      </w:r>
      <w:r>
        <w:rPr>
          <w:rFonts w:hint="eastAsia" w:ascii="仿宋" w:hAnsi="仿宋" w:eastAsia="仿宋"/>
          <w:sz w:val="28"/>
          <w:szCs w:val="28"/>
          <w:highlight w:val="none"/>
        </w:rPr>
        <w:t>相</w:t>
      </w:r>
      <w:r>
        <w:rPr>
          <w:rFonts w:ascii="仿宋" w:hAnsi="仿宋" w:eastAsia="仿宋"/>
          <w:sz w:val="28"/>
          <w:szCs w:val="28"/>
          <w:highlight w:val="none"/>
        </w:rPr>
        <w:t>应说</w:t>
      </w:r>
      <w:r>
        <w:rPr>
          <w:rFonts w:hint="eastAsia" w:ascii="仿宋" w:hAnsi="仿宋" w:eastAsia="仿宋"/>
          <w:sz w:val="28"/>
          <w:szCs w:val="28"/>
          <w:highlight w:val="none"/>
        </w:rPr>
        <w:t>明，</w:t>
      </w:r>
      <w:r>
        <w:rPr>
          <w:rFonts w:ascii="仿宋" w:hAnsi="仿宋" w:eastAsia="仿宋"/>
          <w:sz w:val="28"/>
          <w:szCs w:val="28"/>
          <w:highlight w:val="none"/>
        </w:rPr>
        <w:t>则</w:t>
      </w:r>
      <w:r>
        <w:rPr>
          <w:rFonts w:hint="eastAsia" w:ascii="仿宋" w:hAnsi="仿宋" w:eastAsia="仿宋"/>
          <w:sz w:val="28"/>
          <w:szCs w:val="28"/>
          <w:highlight w:val="none"/>
        </w:rPr>
        <w:t>以</w:t>
      </w:r>
      <w:r>
        <w:rPr>
          <w:rFonts w:ascii="仿宋" w:hAnsi="仿宋" w:eastAsia="仿宋"/>
          <w:sz w:val="28"/>
          <w:szCs w:val="28"/>
          <w:highlight w:val="none"/>
        </w:rPr>
        <w:t>国</w:t>
      </w:r>
      <w:r>
        <w:rPr>
          <w:rFonts w:hint="eastAsia" w:ascii="仿宋" w:hAnsi="仿宋" w:eastAsia="仿宋"/>
          <w:sz w:val="28"/>
          <w:szCs w:val="28"/>
          <w:highlight w:val="none"/>
        </w:rPr>
        <w:t>家有</w:t>
      </w:r>
      <w:r>
        <w:rPr>
          <w:rFonts w:ascii="仿宋" w:hAnsi="仿宋" w:eastAsia="仿宋"/>
          <w:sz w:val="28"/>
          <w:szCs w:val="28"/>
          <w:highlight w:val="none"/>
        </w:rPr>
        <w:t>关部门最新颁</w:t>
      </w:r>
      <w:r>
        <w:rPr>
          <w:rFonts w:hint="eastAsia" w:ascii="仿宋" w:hAnsi="仿宋" w:eastAsia="仿宋"/>
          <w:sz w:val="28"/>
          <w:szCs w:val="28"/>
          <w:highlight w:val="none"/>
        </w:rPr>
        <w:t>布的相</w:t>
      </w:r>
      <w:r>
        <w:rPr>
          <w:rFonts w:ascii="仿宋" w:hAnsi="仿宋" w:eastAsia="仿宋"/>
          <w:sz w:val="28"/>
          <w:szCs w:val="28"/>
          <w:highlight w:val="none"/>
        </w:rPr>
        <w:t>应标</w:t>
      </w:r>
      <w:r>
        <w:rPr>
          <w:rFonts w:hint="eastAsia" w:ascii="仿宋" w:hAnsi="仿宋" w:eastAsia="仿宋"/>
          <w:sz w:val="28"/>
          <w:szCs w:val="28"/>
          <w:highlight w:val="none"/>
        </w:rPr>
        <w:t>准及</w:t>
      </w:r>
      <w:r>
        <w:rPr>
          <w:rFonts w:ascii="仿宋" w:hAnsi="仿宋" w:eastAsia="仿宋"/>
          <w:sz w:val="28"/>
          <w:szCs w:val="28"/>
          <w:highlight w:val="none"/>
        </w:rPr>
        <w:t>规</w:t>
      </w:r>
      <w:r>
        <w:rPr>
          <w:rFonts w:hint="eastAsia" w:ascii="仿宋" w:hAnsi="仿宋" w:eastAsia="仿宋"/>
          <w:sz w:val="28"/>
          <w:szCs w:val="28"/>
          <w:highlight w:val="none"/>
        </w:rPr>
        <w:t>范</w:t>
      </w:r>
      <w:r>
        <w:rPr>
          <w:rFonts w:ascii="仿宋" w:hAnsi="仿宋" w:eastAsia="仿宋"/>
          <w:sz w:val="28"/>
          <w:szCs w:val="28"/>
          <w:highlight w:val="none"/>
        </w:rPr>
        <w:t>为</w:t>
      </w:r>
      <w:r>
        <w:rPr>
          <w:rFonts w:hint="eastAsia" w:ascii="仿宋" w:hAnsi="仿宋" w:eastAsia="仿宋"/>
          <w:sz w:val="28"/>
          <w:szCs w:val="28"/>
          <w:highlight w:val="none"/>
        </w:rPr>
        <w:t>准。</w:t>
      </w:r>
    </w:p>
    <w:p w14:paraId="4372B2D0">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乙方提交的</w:t>
      </w:r>
      <w:r>
        <w:rPr>
          <w:rFonts w:ascii="仿宋" w:hAnsi="仿宋" w:eastAsia="仿宋"/>
          <w:sz w:val="28"/>
          <w:szCs w:val="28"/>
          <w:highlight w:val="none"/>
        </w:rPr>
        <w:t>货物应</w:t>
      </w:r>
      <w:r>
        <w:rPr>
          <w:rFonts w:hint="eastAsia" w:ascii="仿宋" w:hAnsi="仿宋" w:eastAsia="仿宋"/>
          <w:sz w:val="28"/>
          <w:szCs w:val="28"/>
          <w:highlight w:val="none"/>
        </w:rPr>
        <w:t>符合</w:t>
      </w:r>
      <w:r>
        <w:rPr>
          <w:rFonts w:hint="eastAsia" w:ascii="仿宋" w:hAnsi="仿宋" w:eastAsia="仿宋"/>
          <w:sz w:val="28"/>
          <w:szCs w:val="28"/>
          <w:highlight w:val="none"/>
          <w:lang w:eastAsia="zh-CN"/>
        </w:rPr>
        <w:t>响应文件</w:t>
      </w:r>
      <w:r>
        <w:rPr>
          <w:rFonts w:hint="eastAsia" w:ascii="仿宋" w:hAnsi="仿宋" w:eastAsia="仿宋"/>
          <w:sz w:val="28"/>
          <w:szCs w:val="28"/>
          <w:highlight w:val="none"/>
        </w:rPr>
        <w:t>中</w:t>
      </w:r>
      <w:r>
        <w:rPr>
          <w:rFonts w:ascii="仿宋" w:hAnsi="仿宋" w:eastAsia="仿宋"/>
          <w:sz w:val="28"/>
          <w:szCs w:val="28"/>
          <w:highlight w:val="none"/>
        </w:rPr>
        <w:t>所记载</w:t>
      </w:r>
      <w:r>
        <w:rPr>
          <w:rFonts w:hint="eastAsia" w:ascii="仿宋" w:hAnsi="仿宋" w:eastAsia="仿宋"/>
          <w:sz w:val="28"/>
          <w:szCs w:val="28"/>
          <w:highlight w:val="none"/>
        </w:rPr>
        <w:t>的</w:t>
      </w:r>
      <w:r>
        <w:rPr>
          <w:rFonts w:ascii="仿宋" w:hAnsi="仿宋" w:eastAsia="仿宋"/>
          <w:sz w:val="28"/>
          <w:szCs w:val="28"/>
          <w:highlight w:val="none"/>
        </w:rPr>
        <w:t>详细</w:t>
      </w:r>
      <w:r>
        <w:rPr>
          <w:rFonts w:hint="eastAsia" w:ascii="仿宋" w:hAnsi="仿宋" w:eastAsia="仿宋"/>
          <w:sz w:val="28"/>
          <w:szCs w:val="28"/>
          <w:highlight w:val="none"/>
        </w:rPr>
        <w:t>配置、技</w:t>
      </w:r>
      <w:r>
        <w:rPr>
          <w:rFonts w:ascii="仿宋" w:hAnsi="仿宋" w:eastAsia="仿宋"/>
          <w:sz w:val="28"/>
          <w:szCs w:val="28"/>
          <w:highlight w:val="none"/>
        </w:rPr>
        <w:t>术</w:t>
      </w:r>
      <w:r>
        <w:rPr>
          <w:rFonts w:hint="eastAsia" w:ascii="仿宋" w:hAnsi="仿宋" w:eastAsia="仿宋"/>
          <w:sz w:val="28"/>
          <w:szCs w:val="28"/>
          <w:highlight w:val="none"/>
        </w:rPr>
        <w:t>指</w:t>
      </w:r>
      <w:r>
        <w:rPr>
          <w:rFonts w:ascii="仿宋" w:hAnsi="仿宋" w:eastAsia="仿宋"/>
          <w:sz w:val="28"/>
          <w:szCs w:val="28"/>
          <w:highlight w:val="none"/>
        </w:rPr>
        <w:t>针、参数</w:t>
      </w:r>
      <w:r>
        <w:rPr>
          <w:rFonts w:hint="eastAsia" w:ascii="仿宋" w:hAnsi="仿宋" w:eastAsia="仿宋"/>
          <w:sz w:val="28"/>
          <w:szCs w:val="28"/>
          <w:highlight w:val="none"/>
        </w:rPr>
        <w:t>及性能，并</w:t>
      </w:r>
      <w:r>
        <w:rPr>
          <w:rFonts w:ascii="仿宋" w:hAnsi="仿宋" w:eastAsia="仿宋"/>
          <w:sz w:val="28"/>
          <w:szCs w:val="28"/>
          <w:highlight w:val="none"/>
        </w:rPr>
        <w:t>应</w:t>
      </w:r>
      <w:r>
        <w:rPr>
          <w:rFonts w:hint="eastAsia" w:ascii="仿宋" w:hAnsi="仿宋" w:eastAsia="仿宋"/>
          <w:sz w:val="28"/>
          <w:szCs w:val="28"/>
          <w:highlight w:val="none"/>
        </w:rPr>
        <w:t>附有此</w:t>
      </w:r>
      <w:r>
        <w:rPr>
          <w:rFonts w:ascii="仿宋" w:hAnsi="仿宋" w:eastAsia="仿宋"/>
          <w:sz w:val="28"/>
          <w:szCs w:val="28"/>
          <w:highlight w:val="none"/>
        </w:rPr>
        <w:t>类服务</w:t>
      </w:r>
      <w:r>
        <w:rPr>
          <w:rFonts w:hint="eastAsia" w:ascii="仿宋" w:hAnsi="仿宋" w:eastAsia="仿宋"/>
          <w:sz w:val="28"/>
          <w:szCs w:val="28"/>
          <w:highlight w:val="none"/>
        </w:rPr>
        <w:t>完整、</w:t>
      </w:r>
      <w:r>
        <w:rPr>
          <w:rFonts w:ascii="仿宋" w:hAnsi="仿宋" w:eastAsia="仿宋"/>
          <w:sz w:val="28"/>
          <w:szCs w:val="28"/>
          <w:highlight w:val="none"/>
        </w:rPr>
        <w:t>详细</w:t>
      </w:r>
      <w:r>
        <w:rPr>
          <w:rFonts w:hint="eastAsia" w:ascii="仿宋" w:hAnsi="仿宋" w:eastAsia="仿宋"/>
          <w:sz w:val="28"/>
          <w:szCs w:val="28"/>
          <w:highlight w:val="none"/>
        </w:rPr>
        <w:t>的技</w:t>
      </w:r>
      <w:r>
        <w:rPr>
          <w:rFonts w:ascii="仿宋" w:hAnsi="仿宋" w:eastAsia="仿宋"/>
          <w:sz w:val="28"/>
          <w:szCs w:val="28"/>
          <w:highlight w:val="none"/>
        </w:rPr>
        <w:t>术数</w:t>
      </w:r>
      <w:r>
        <w:rPr>
          <w:rFonts w:hint="eastAsia" w:ascii="仿宋" w:hAnsi="仿宋" w:eastAsia="仿宋"/>
          <w:sz w:val="28"/>
          <w:szCs w:val="28"/>
          <w:highlight w:val="none"/>
        </w:rPr>
        <w:t>据和</w:t>
      </w:r>
      <w:r>
        <w:rPr>
          <w:rFonts w:ascii="仿宋" w:hAnsi="仿宋" w:eastAsia="仿宋"/>
          <w:sz w:val="28"/>
          <w:szCs w:val="28"/>
          <w:highlight w:val="none"/>
        </w:rPr>
        <w:t>说</w:t>
      </w:r>
      <w:r>
        <w:rPr>
          <w:rFonts w:hint="eastAsia" w:ascii="仿宋" w:hAnsi="仿宋" w:eastAsia="仿宋"/>
          <w:sz w:val="28"/>
          <w:szCs w:val="28"/>
          <w:highlight w:val="none"/>
        </w:rPr>
        <w:t>明文件。</w:t>
      </w:r>
    </w:p>
    <w:p w14:paraId="09D4B2CB">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20" w:lineRule="exact"/>
        <w:ind w:firstLine="562" w:firstLineChars="200"/>
        <w:textAlignment w:val="auto"/>
        <w:rPr>
          <w:rFonts w:hint="eastAsia" w:ascii="仿宋" w:hAnsi="仿宋" w:eastAsia="仿宋"/>
          <w:sz w:val="28"/>
          <w:szCs w:val="28"/>
          <w:highlight w:val="none"/>
          <w:lang w:eastAsia="zh-CN"/>
        </w:rPr>
      </w:pPr>
      <w:r>
        <w:rPr>
          <w:rFonts w:hint="eastAsia" w:ascii="仿宋" w:hAnsi="仿宋" w:eastAsia="仿宋"/>
          <w:b/>
          <w:bCs/>
          <w:sz w:val="28"/>
          <w:szCs w:val="28"/>
          <w:highlight w:val="none"/>
          <w:lang w:val="en-US" w:eastAsia="zh-CN"/>
        </w:rPr>
        <w:t>7</w:t>
      </w:r>
      <w:r>
        <w:rPr>
          <w:rFonts w:hint="eastAsia" w:ascii="仿宋" w:hAnsi="仿宋" w:eastAsia="仿宋"/>
          <w:b/>
          <w:bCs/>
          <w:sz w:val="28"/>
          <w:szCs w:val="28"/>
          <w:highlight w:val="none"/>
        </w:rPr>
        <w:t>、合同变更</w:t>
      </w:r>
      <w:r>
        <w:rPr>
          <w:rFonts w:hint="eastAsia" w:ascii="仿宋" w:hAnsi="仿宋" w:eastAsia="仿宋"/>
          <w:sz w:val="28"/>
          <w:szCs w:val="28"/>
          <w:highlight w:val="none"/>
          <w:lang w:eastAsia="zh-CN"/>
        </w:rPr>
        <w:t>：</w:t>
      </w:r>
      <w:r>
        <w:rPr>
          <w:rFonts w:ascii="仿宋" w:hAnsi="仿宋" w:eastAsia="仿宋"/>
          <w:sz w:val="28"/>
          <w:szCs w:val="28"/>
          <w:highlight w:val="none"/>
        </w:rPr>
        <w:t>采购合同的双方当事人不得擅自变更、中止或者终止合同。</w:t>
      </w:r>
    </w:p>
    <w:p w14:paraId="5AA33300">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 xml:space="preserve">    采购合同继续履行将损害国家利益和社会公共利益的，双方当事人应当变更、中止或者终止合同。有过错的一方应当承担赔偿责任，双方都有过错的，各自承担相应的责任。</w:t>
      </w:r>
    </w:p>
    <w:p w14:paraId="5D34E3DE">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8</w:t>
      </w:r>
      <w:r>
        <w:rPr>
          <w:rFonts w:hint="eastAsia" w:ascii="仿宋" w:hAnsi="仿宋" w:eastAsia="仿宋"/>
          <w:b/>
          <w:bCs/>
          <w:sz w:val="28"/>
          <w:szCs w:val="28"/>
          <w:highlight w:val="none"/>
        </w:rPr>
        <w:t>、</w:t>
      </w:r>
      <w:r>
        <w:rPr>
          <w:rFonts w:ascii="仿宋" w:hAnsi="仿宋" w:eastAsia="仿宋"/>
          <w:b/>
          <w:bCs/>
          <w:sz w:val="28"/>
          <w:szCs w:val="28"/>
          <w:highlight w:val="none"/>
        </w:rPr>
        <w:t>违约责</w:t>
      </w:r>
      <w:r>
        <w:rPr>
          <w:rFonts w:hint="eastAsia" w:ascii="仿宋" w:hAnsi="仿宋" w:eastAsia="仿宋"/>
          <w:b/>
          <w:bCs/>
          <w:sz w:val="28"/>
          <w:szCs w:val="28"/>
          <w:highlight w:val="none"/>
        </w:rPr>
        <w:t>任</w:t>
      </w:r>
    </w:p>
    <w:p w14:paraId="1F5715D8">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1</w:t>
      </w:r>
      <w:r>
        <w:rPr>
          <w:rFonts w:hint="eastAsia" w:ascii="仿宋" w:hAnsi="仿宋" w:eastAsia="仿宋"/>
          <w:color w:val="000000"/>
          <w:sz w:val="28"/>
          <w:szCs w:val="28"/>
          <w:highlight w:val="none"/>
        </w:rPr>
        <w:t>）乙方不履行合同或履行</w:t>
      </w:r>
      <w:r>
        <w:rPr>
          <w:rFonts w:ascii="仿宋" w:hAnsi="仿宋" w:eastAsia="仿宋"/>
          <w:color w:val="000000"/>
          <w:sz w:val="28"/>
          <w:szCs w:val="28"/>
          <w:highlight w:val="none"/>
        </w:rPr>
        <w:t>该</w:t>
      </w:r>
      <w:r>
        <w:rPr>
          <w:rFonts w:hint="eastAsia" w:ascii="仿宋" w:hAnsi="仿宋" w:eastAsia="仿宋"/>
          <w:color w:val="000000"/>
          <w:sz w:val="28"/>
          <w:szCs w:val="28"/>
          <w:highlight w:val="none"/>
        </w:rPr>
        <w:t>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w:t>
      </w:r>
      <w:r>
        <w:rPr>
          <w:rFonts w:ascii="仿宋" w:hAnsi="仿宋" w:eastAsia="仿宋"/>
          <w:color w:val="000000"/>
          <w:sz w:val="28"/>
          <w:szCs w:val="28"/>
          <w:highlight w:val="none"/>
        </w:rPr>
        <w:t>应向</w:t>
      </w:r>
      <w:r>
        <w:rPr>
          <w:rFonts w:hint="eastAsia" w:ascii="仿宋" w:hAnsi="仿宋" w:eastAsia="仿宋"/>
          <w:color w:val="000000"/>
          <w:sz w:val="28"/>
          <w:szCs w:val="28"/>
          <w:highlight w:val="none"/>
        </w:rPr>
        <w:t>甲方支付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乙方应按</w:t>
      </w:r>
      <w:r>
        <w:rPr>
          <w:rFonts w:hint="eastAsia" w:ascii="仿宋" w:hAnsi="仿宋" w:eastAsia="仿宋"/>
          <w:color w:val="000000"/>
          <w:sz w:val="28"/>
          <w:szCs w:val="28"/>
          <w:highlight w:val="none"/>
        </w:rPr>
        <w:t>合</w:t>
      </w:r>
      <w:r>
        <w:rPr>
          <w:rFonts w:ascii="仿宋" w:hAnsi="仿宋" w:eastAsia="仿宋"/>
          <w:color w:val="000000"/>
          <w:sz w:val="28"/>
          <w:szCs w:val="28"/>
          <w:highlight w:val="none"/>
        </w:rPr>
        <w:t>同约定时间</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付</w:t>
      </w:r>
      <w:r>
        <w:rPr>
          <w:rFonts w:hint="eastAsia" w:ascii="仿宋" w:hAnsi="仿宋" w:eastAsia="仿宋"/>
          <w:color w:val="000000"/>
          <w:sz w:val="28"/>
          <w:szCs w:val="28"/>
          <w:highlight w:val="none"/>
        </w:rPr>
        <w:t>货物，货物每</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交一天，按总管理费的</w:t>
      </w:r>
      <w:r>
        <w:rPr>
          <w:rFonts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金。除</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服务</w:t>
      </w:r>
      <w:r>
        <w:rPr>
          <w:rFonts w:hint="eastAsia" w:ascii="仿宋" w:hAnsi="仿宋" w:eastAsia="仿宋"/>
          <w:color w:val="000000"/>
          <w:sz w:val="28"/>
          <w:szCs w:val="28"/>
          <w:highlight w:val="none"/>
        </w:rPr>
        <w:t>以外，乙方若出</w:t>
      </w:r>
      <w:r>
        <w:rPr>
          <w:rFonts w:ascii="仿宋" w:hAnsi="仿宋" w:eastAsia="仿宋"/>
          <w:color w:val="000000"/>
          <w:sz w:val="28"/>
          <w:szCs w:val="28"/>
          <w:highlight w:val="none"/>
        </w:rPr>
        <w:t>现其它违约行为</w:t>
      </w:r>
      <w:r>
        <w:rPr>
          <w:rFonts w:hint="eastAsia" w:ascii="仿宋" w:hAnsi="仿宋" w:eastAsia="仿宋"/>
          <w:color w:val="000000"/>
          <w:sz w:val="28"/>
          <w:szCs w:val="28"/>
          <w:highlight w:val="none"/>
        </w:rPr>
        <w:t>，每</w:t>
      </w:r>
      <w:r>
        <w:rPr>
          <w:rFonts w:ascii="仿宋" w:hAnsi="仿宋" w:eastAsia="仿宋"/>
          <w:color w:val="000000"/>
          <w:sz w:val="28"/>
          <w:szCs w:val="28"/>
          <w:highlight w:val="none"/>
        </w:rPr>
        <w:t>天应按</w:t>
      </w:r>
      <w:r>
        <w:rPr>
          <w:rFonts w:hint="eastAsia" w:ascii="仿宋" w:hAnsi="仿宋" w:eastAsia="仿宋"/>
          <w:color w:val="000000"/>
          <w:sz w:val="28"/>
          <w:szCs w:val="28"/>
          <w:highlight w:val="none"/>
          <w:lang w:val="en-US" w:eastAsia="zh-CN"/>
        </w:rPr>
        <w:t>总管理费的</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w:t>
      </w:r>
    </w:p>
    <w:p w14:paraId="66A91F34">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2</w:t>
      </w:r>
      <w:r>
        <w:rPr>
          <w:rFonts w:hint="eastAsia" w:ascii="仿宋" w:hAnsi="仿宋" w:eastAsia="仿宋"/>
          <w:color w:val="000000"/>
          <w:sz w:val="28"/>
          <w:szCs w:val="28"/>
          <w:highlight w:val="none"/>
        </w:rPr>
        <w:t>）乙方未按约定时间支付</w:t>
      </w:r>
      <w:r>
        <w:rPr>
          <w:rFonts w:hint="eastAsia" w:ascii="仿宋" w:hAnsi="仿宋" w:eastAsia="仿宋"/>
          <w:color w:val="000000"/>
          <w:sz w:val="28"/>
          <w:szCs w:val="28"/>
          <w:highlight w:val="none"/>
          <w:lang w:val="en-US" w:eastAsia="zh-CN"/>
        </w:rPr>
        <w:t>管理费</w:t>
      </w:r>
      <w:r>
        <w:rPr>
          <w:rFonts w:hint="eastAsia" w:ascii="仿宋" w:hAnsi="仿宋" w:eastAsia="仿宋"/>
          <w:color w:val="000000"/>
          <w:sz w:val="28"/>
          <w:szCs w:val="28"/>
          <w:highlight w:val="none"/>
        </w:rPr>
        <w:t>的</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每延迟一天，</w:t>
      </w:r>
      <w:r>
        <w:rPr>
          <w:rFonts w:hint="eastAsia" w:ascii="仿宋" w:hAnsi="仿宋" w:eastAsia="仿宋"/>
          <w:color w:val="000000"/>
          <w:sz w:val="28"/>
          <w:szCs w:val="28"/>
          <w:highlight w:val="none"/>
        </w:rPr>
        <w:t>按总管理费的</w:t>
      </w:r>
      <w:r>
        <w:rPr>
          <w:rFonts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w:t>
      </w:r>
    </w:p>
    <w:p w14:paraId="27B4B46E">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3</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延履行合同、不完全履行合同，除支付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金外，乙方仍</w:t>
      </w:r>
      <w:r>
        <w:rPr>
          <w:rFonts w:ascii="仿宋" w:hAnsi="仿宋" w:eastAsia="仿宋"/>
          <w:color w:val="000000"/>
          <w:sz w:val="28"/>
          <w:szCs w:val="28"/>
          <w:highlight w:val="none"/>
        </w:rPr>
        <w:t>应实际</w:t>
      </w:r>
      <w:r>
        <w:rPr>
          <w:rFonts w:hint="eastAsia" w:ascii="仿宋" w:hAnsi="仿宋" w:eastAsia="仿宋"/>
          <w:color w:val="000000"/>
          <w:sz w:val="28"/>
          <w:szCs w:val="28"/>
          <w:highlight w:val="none"/>
        </w:rPr>
        <w:t>履行合同；不履行或履行合同不符合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定，甲方均有</w:t>
      </w:r>
      <w:r>
        <w:rPr>
          <w:rFonts w:ascii="仿宋" w:hAnsi="仿宋" w:eastAsia="仿宋"/>
          <w:color w:val="000000"/>
          <w:sz w:val="28"/>
          <w:szCs w:val="28"/>
          <w:highlight w:val="none"/>
        </w:rPr>
        <w:t>权</w:t>
      </w:r>
      <w:r>
        <w:rPr>
          <w:rFonts w:hint="eastAsia" w:ascii="仿宋" w:hAnsi="仿宋" w:eastAsia="仿宋"/>
          <w:color w:val="000000"/>
          <w:sz w:val="28"/>
          <w:szCs w:val="28"/>
          <w:highlight w:val="none"/>
        </w:rPr>
        <w:t>解除合同，并就乙方</w:t>
      </w:r>
      <w:r>
        <w:rPr>
          <w:rFonts w:ascii="仿宋" w:hAnsi="仿宋" w:eastAsia="仿宋"/>
          <w:color w:val="000000"/>
          <w:sz w:val="28"/>
          <w:szCs w:val="28"/>
          <w:highlight w:val="none"/>
        </w:rPr>
        <w:t>违约给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损</w:t>
      </w:r>
      <w:r>
        <w:rPr>
          <w:rFonts w:hint="eastAsia" w:ascii="仿宋" w:hAnsi="仿宋" w:eastAsia="仿宋"/>
          <w:color w:val="000000"/>
          <w:sz w:val="28"/>
          <w:szCs w:val="28"/>
          <w:highlight w:val="none"/>
        </w:rPr>
        <w:t>失向乙方索</w:t>
      </w:r>
      <w:r>
        <w:rPr>
          <w:rFonts w:ascii="仿宋" w:hAnsi="仿宋" w:eastAsia="仿宋"/>
          <w:color w:val="000000"/>
          <w:sz w:val="28"/>
          <w:szCs w:val="28"/>
          <w:highlight w:val="none"/>
        </w:rPr>
        <w:t>赔</w:t>
      </w:r>
      <w:r>
        <w:rPr>
          <w:rFonts w:hint="eastAsia" w:ascii="仿宋" w:hAnsi="仿宋" w:eastAsia="仿宋"/>
          <w:color w:val="000000"/>
          <w:sz w:val="28"/>
          <w:szCs w:val="28"/>
          <w:highlight w:val="none"/>
        </w:rPr>
        <w:t>。</w:t>
      </w:r>
    </w:p>
    <w:p w14:paraId="5E557D84">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b/>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）其它未</w:t>
      </w:r>
      <w:r>
        <w:rPr>
          <w:rFonts w:ascii="仿宋" w:hAnsi="仿宋" w:eastAsia="仿宋"/>
          <w:color w:val="000000"/>
          <w:sz w:val="28"/>
          <w:szCs w:val="28"/>
          <w:highlight w:val="none"/>
        </w:rPr>
        <w:t>尽</w:t>
      </w:r>
      <w:r>
        <w:rPr>
          <w:rFonts w:hint="eastAsia" w:ascii="仿宋" w:hAnsi="仿宋" w:eastAsia="仿宋"/>
          <w:color w:val="000000"/>
          <w:sz w:val="28"/>
          <w:szCs w:val="28"/>
          <w:highlight w:val="none"/>
        </w:rPr>
        <w:t>事宜，以</w:t>
      </w:r>
      <w:r>
        <w:rPr>
          <w:rFonts w:hint="eastAsia" w:ascii="仿宋" w:hAnsi="仿宋" w:eastAsia="仿宋"/>
          <w:color w:val="000000"/>
          <w:sz w:val="28"/>
          <w:szCs w:val="28"/>
          <w:highlight w:val="none"/>
          <w:lang w:eastAsia="zh-CN"/>
        </w:rPr>
        <w:t>《中华人民共和国民法典》</w:t>
      </w:r>
      <w:r>
        <w:rPr>
          <w:rFonts w:hint="eastAsia" w:ascii="仿宋" w:hAnsi="仿宋" w:eastAsia="仿宋"/>
          <w:color w:val="000000"/>
          <w:sz w:val="28"/>
          <w:szCs w:val="28"/>
          <w:highlight w:val="none"/>
        </w:rPr>
        <w:t>和其它有</w:t>
      </w:r>
      <w:r>
        <w:rPr>
          <w:rFonts w:ascii="仿宋" w:hAnsi="仿宋" w:eastAsia="仿宋"/>
          <w:color w:val="000000"/>
          <w:sz w:val="28"/>
          <w:szCs w:val="28"/>
          <w:highlight w:val="none"/>
        </w:rPr>
        <w:t>关</w:t>
      </w:r>
      <w:r>
        <w:rPr>
          <w:rFonts w:hint="eastAsia" w:ascii="仿宋" w:hAnsi="仿宋" w:eastAsia="仿宋"/>
          <w:color w:val="000000"/>
          <w:sz w:val="28"/>
          <w:szCs w:val="28"/>
          <w:highlight w:val="none"/>
        </w:rPr>
        <w:t>法律、法</w:t>
      </w:r>
      <w:r>
        <w:rPr>
          <w:rFonts w:ascii="仿宋" w:hAnsi="仿宋" w:eastAsia="仿宋"/>
          <w:color w:val="000000"/>
          <w:sz w:val="28"/>
          <w:szCs w:val="28"/>
          <w:highlight w:val="none"/>
        </w:rPr>
        <w:t>规规定为</w:t>
      </w:r>
      <w:r>
        <w:rPr>
          <w:rFonts w:hint="eastAsia" w:ascii="仿宋" w:hAnsi="仿宋" w:eastAsia="仿宋"/>
          <w:color w:val="000000"/>
          <w:sz w:val="28"/>
          <w:szCs w:val="28"/>
          <w:highlight w:val="none"/>
        </w:rPr>
        <w:t>准，</w:t>
      </w:r>
      <w:r>
        <w:rPr>
          <w:rFonts w:ascii="仿宋" w:hAnsi="仿宋" w:eastAsia="仿宋"/>
          <w:color w:val="000000"/>
          <w:sz w:val="28"/>
          <w:szCs w:val="28"/>
          <w:highlight w:val="none"/>
        </w:rPr>
        <w:t>无</w:t>
      </w:r>
      <w:r>
        <w:rPr>
          <w:rFonts w:hint="eastAsia" w:ascii="仿宋" w:hAnsi="仿宋" w:eastAsia="仿宋"/>
          <w:color w:val="000000"/>
          <w:sz w:val="28"/>
          <w:szCs w:val="28"/>
          <w:highlight w:val="none"/>
        </w:rPr>
        <w:t>相</w:t>
      </w:r>
      <w:r>
        <w:rPr>
          <w:rFonts w:ascii="仿宋" w:hAnsi="仿宋" w:eastAsia="仿宋"/>
          <w:color w:val="000000"/>
          <w:sz w:val="28"/>
          <w:szCs w:val="28"/>
          <w:highlight w:val="none"/>
        </w:rPr>
        <w:t>关规</w:t>
      </w:r>
      <w:r>
        <w:rPr>
          <w:rFonts w:hint="eastAsia" w:ascii="仿宋" w:hAnsi="仿宋" w:eastAsia="仿宋"/>
          <w:color w:val="000000"/>
          <w:sz w:val="28"/>
          <w:szCs w:val="28"/>
          <w:highlight w:val="none"/>
        </w:rPr>
        <w:t>定的，</w:t>
      </w:r>
      <w:r>
        <w:rPr>
          <w:rFonts w:ascii="仿宋" w:hAnsi="仿宋" w:eastAsia="仿宋"/>
          <w:color w:val="000000"/>
          <w:sz w:val="28"/>
          <w:szCs w:val="28"/>
          <w:highlight w:val="none"/>
        </w:rPr>
        <w:t>双方协</w:t>
      </w:r>
      <w:r>
        <w:rPr>
          <w:rFonts w:hint="eastAsia" w:ascii="仿宋" w:hAnsi="仿宋" w:eastAsia="仿宋"/>
          <w:color w:val="000000"/>
          <w:sz w:val="28"/>
          <w:szCs w:val="28"/>
          <w:highlight w:val="none"/>
        </w:rPr>
        <w:t>商解</w:t>
      </w:r>
      <w:r>
        <w:rPr>
          <w:rFonts w:ascii="仿宋" w:hAnsi="仿宋" w:eastAsia="仿宋"/>
          <w:color w:val="000000"/>
          <w:sz w:val="28"/>
          <w:szCs w:val="28"/>
          <w:highlight w:val="none"/>
        </w:rPr>
        <w:t>决。</w:t>
      </w:r>
      <w:r>
        <w:rPr>
          <w:rFonts w:hint="eastAsia" w:ascii="仿宋" w:hAnsi="仿宋" w:eastAsia="仿宋"/>
          <w:color w:val="000000"/>
          <w:sz w:val="28"/>
          <w:szCs w:val="28"/>
          <w:highlight w:val="none"/>
        </w:rPr>
        <w:t xml:space="preserve"> </w:t>
      </w:r>
      <w:r>
        <w:rPr>
          <w:rFonts w:hint="eastAsia" w:ascii="仿宋" w:hAnsi="仿宋" w:eastAsia="仿宋"/>
          <w:b/>
          <w:color w:val="000000"/>
          <w:sz w:val="28"/>
          <w:szCs w:val="28"/>
          <w:highlight w:val="none"/>
        </w:rPr>
        <w:t xml:space="preserve">   </w:t>
      </w:r>
    </w:p>
    <w:p w14:paraId="7665F4A3">
      <w:pPr>
        <w:keepNext w:val="0"/>
        <w:keepLines w:val="0"/>
        <w:pageBreakBefore w:val="0"/>
        <w:widowControl w:val="0"/>
        <w:kinsoku/>
        <w:wordWrap/>
        <w:overflowPunct/>
        <w:topLinePunct w:val="0"/>
        <w:autoSpaceDE/>
        <w:autoSpaceDN/>
        <w:bidi w:val="0"/>
        <w:spacing w:line="42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9</w:t>
      </w:r>
      <w:r>
        <w:rPr>
          <w:rFonts w:hint="eastAsia" w:ascii="仿宋" w:hAnsi="仿宋" w:eastAsia="仿宋"/>
          <w:b/>
          <w:bCs/>
          <w:sz w:val="28"/>
          <w:szCs w:val="28"/>
          <w:highlight w:val="none"/>
        </w:rPr>
        <w:t>、</w:t>
      </w:r>
      <w:r>
        <w:rPr>
          <w:rFonts w:ascii="仿宋" w:hAnsi="仿宋" w:eastAsia="仿宋"/>
          <w:b/>
          <w:bCs/>
          <w:sz w:val="28"/>
          <w:szCs w:val="28"/>
          <w:highlight w:val="none"/>
        </w:rPr>
        <w:t>验</w:t>
      </w:r>
      <w:r>
        <w:rPr>
          <w:rFonts w:hint="eastAsia" w:ascii="仿宋" w:hAnsi="仿宋" w:eastAsia="仿宋"/>
          <w:b/>
          <w:bCs/>
          <w:sz w:val="28"/>
          <w:szCs w:val="28"/>
          <w:highlight w:val="none"/>
        </w:rPr>
        <w:t>收</w:t>
      </w:r>
    </w:p>
    <w:p w14:paraId="073870A9">
      <w:pPr>
        <w:keepNext w:val="0"/>
        <w:keepLines w:val="0"/>
        <w:pageBreakBefore w:val="0"/>
        <w:widowControl w:val="0"/>
        <w:kinsoku/>
        <w:wordWrap/>
        <w:overflowPunct/>
        <w:topLinePunct w:val="0"/>
        <w:autoSpaceDE/>
        <w:autoSpaceDN/>
        <w:bidi w:val="0"/>
        <w:spacing w:line="42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甲方</w:t>
      </w:r>
      <w:r>
        <w:rPr>
          <w:rFonts w:hint="eastAsia" w:ascii="仿宋" w:hAnsi="仿宋" w:eastAsia="仿宋"/>
          <w:sz w:val="28"/>
          <w:szCs w:val="28"/>
          <w:highlight w:val="none"/>
        </w:rPr>
        <w:t>应当在</w:t>
      </w:r>
      <w:r>
        <w:rPr>
          <w:rFonts w:hint="eastAsia" w:ascii="仿宋" w:hAnsi="仿宋" w:eastAsia="仿宋"/>
          <w:sz w:val="28"/>
          <w:szCs w:val="28"/>
          <w:highlight w:val="none"/>
          <w:lang w:val="en-US" w:eastAsia="zh-CN"/>
        </w:rPr>
        <w:t>乙方</w:t>
      </w:r>
      <w:r>
        <w:rPr>
          <w:rFonts w:hint="eastAsia" w:ascii="仿宋" w:hAnsi="仿宋" w:eastAsia="仿宋"/>
          <w:sz w:val="28"/>
          <w:szCs w:val="28"/>
          <w:highlight w:val="none"/>
        </w:rPr>
        <w:t>履行合同义务之日起7个工作日内，对合同履行情况组织验收，验收的相关费用由</w:t>
      </w:r>
      <w:r>
        <w:rPr>
          <w:rFonts w:hint="eastAsia" w:ascii="仿宋" w:hAnsi="仿宋" w:eastAsia="仿宋"/>
          <w:sz w:val="28"/>
          <w:szCs w:val="28"/>
          <w:highlight w:val="none"/>
          <w:lang w:val="en-US" w:eastAsia="zh-CN"/>
        </w:rPr>
        <w:t>乙方</w:t>
      </w:r>
      <w:r>
        <w:rPr>
          <w:rFonts w:hint="eastAsia" w:ascii="仿宋" w:hAnsi="仿宋" w:eastAsia="仿宋"/>
          <w:sz w:val="28"/>
          <w:szCs w:val="28"/>
          <w:highlight w:val="none"/>
        </w:rPr>
        <w:t>承担，</w:t>
      </w:r>
      <w:r>
        <w:rPr>
          <w:rFonts w:hint="eastAsia" w:ascii="仿宋" w:hAnsi="仿宋" w:eastAsia="仿宋"/>
          <w:sz w:val="28"/>
          <w:szCs w:val="28"/>
          <w:highlight w:val="none"/>
          <w:lang w:val="en-US" w:eastAsia="zh-CN"/>
        </w:rPr>
        <w:t>乙方</w:t>
      </w:r>
      <w:r>
        <w:rPr>
          <w:rFonts w:hint="eastAsia" w:ascii="仿宋" w:hAnsi="仿宋" w:eastAsia="仿宋"/>
          <w:sz w:val="28"/>
          <w:szCs w:val="28"/>
          <w:highlight w:val="none"/>
        </w:rPr>
        <w:t>在报价时应充分考虑相关费用，并包含在投标报价内，参加项目评审的</w:t>
      </w:r>
      <w:r>
        <w:rPr>
          <w:rFonts w:hint="eastAsia" w:ascii="仿宋" w:hAnsi="仿宋" w:eastAsia="仿宋"/>
          <w:sz w:val="28"/>
          <w:szCs w:val="28"/>
          <w:highlight w:val="none"/>
          <w:lang w:val="en-US" w:eastAsia="zh-CN"/>
        </w:rPr>
        <w:t>采购人</w:t>
      </w:r>
      <w:r>
        <w:rPr>
          <w:rFonts w:hint="eastAsia" w:ascii="仿宋" w:hAnsi="仿宋" w:eastAsia="仿宋"/>
          <w:sz w:val="28"/>
          <w:szCs w:val="28"/>
          <w:highlight w:val="none"/>
        </w:rPr>
        <w:t>代表应当回避。</w:t>
      </w:r>
    </w:p>
    <w:p w14:paraId="61E4716F">
      <w:pPr>
        <w:keepNext w:val="0"/>
        <w:keepLines w:val="0"/>
        <w:pageBreakBefore w:val="0"/>
        <w:widowControl w:val="0"/>
        <w:kinsoku/>
        <w:wordWrap/>
        <w:overflowPunct/>
        <w:topLinePunct w:val="0"/>
        <w:autoSpaceDE/>
        <w:autoSpaceDN/>
        <w:bidi w:val="0"/>
        <w:spacing w:line="42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10</w:t>
      </w:r>
      <w:r>
        <w:rPr>
          <w:rFonts w:hint="eastAsia" w:ascii="仿宋" w:hAnsi="仿宋" w:eastAsia="仿宋"/>
          <w:b/>
          <w:bCs/>
          <w:sz w:val="28"/>
          <w:szCs w:val="28"/>
          <w:highlight w:val="none"/>
        </w:rPr>
        <w:t>、</w:t>
      </w:r>
      <w:r>
        <w:rPr>
          <w:rFonts w:ascii="仿宋" w:hAnsi="仿宋" w:eastAsia="仿宋"/>
          <w:b/>
          <w:bCs/>
          <w:sz w:val="28"/>
          <w:szCs w:val="28"/>
          <w:highlight w:val="none"/>
        </w:rPr>
        <w:t>终止</w:t>
      </w:r>
      <w:r>
        <w:rPr>
          <w:rFonts w:hint="eastAsia" w:ascii="仿宋" w:hAnsi="仿宋" w:eastAsia="仿宋"/>
          <w:b/>
          <w:bCs/>
          <w:sz w:val="28"/>
          <w:szCs w:val="28"/>
          <w:highlight w:val="none"/>
        </w:rPr>
        <w:t>合同</w:t>
      </w:r>
    </w:p>
    <w:p w14:paraId="6825C22C">
      <w:pPr>
        <w:keepNext w:val="0"/>
        <w:keepLines w:val="0"/>
        <w:pageBreakBefore w:val="0"/>
        <w:widowControl w:val="0"/>
        <w:kinsoku/>
        <w:wordWrap/>
        <w:overflowPunct/>
        <w:topLinePunct w:val="0"/>
        <w:autoSpaceDE/>
        <w:autoSpaceDN/>
        <w:bidi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出</w:t>
      </w:r>
      <w:r>
        <w:rPr>
          <w:rFonts w:ascii="仿宋" w:hAnsi="仿宋" w:eastAsia="仿宋"/>
          <w:sz w:val="28"/>
          <w:szCs w:val="28"/>
          <w:highlight w:val="none"/>
        </w:rPr>
        <w:t>现</w:t>
      </w:r>
      <w:r>
        <w:rPr>
          <w:rFonts w:hint="eastAsia" w:ascii="仿宋" w:hAnsi="仿宋" w:eastAsia="仿宋"/>
          <w:sz w:val="28"/>
          <w:szCs w:val="28"/>
          <w:highlight w:val="none"/>
        </w:rPr>
        <w:t>下列情</w:t>
      </w:r>
      <w:r>
        <w:rPr>
          <w:rFonts w:ascii="仿宋" w:hAnsi="仿宋" w:eastAsia="仿宋"/>
          <w:sz w:val="28"/>
          <w:szCs w:val="28"/>
          <w:highlight w:val="none"/>
        </w:rPr>
        <w:t>况</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合同，所造成的</w:t>
      </w:r>
      <w:r>
        <w:rPr>
          <w:rFonts w:ascii="仿宋" w:hAnsi="仿宋" w:eastAsia="仿宋"/>
          <w:sz w:val="28"/>
          <w:szCs w:val="28"/>
          <w:highlight w:val="none"/>
        </w:rPr>
        <w:t>损失应由乙方</w:t>
      </w:r>
      <w:r>
        <w:rPr>
          <w:rFonts w:hint="eastAsia" w:ascii="仿宋" w:hAnsi="仿宋" w:eastAsia="仿宋"/>
          <w:sz w:val="28"/>
          <w:szCs w:val="28"/>
          <w:highlight w:val="none"/>
        </w:rPr>
        <w:t>承</w:t>
      </w:r>
      <w:r>
        <w:rPr>
          <w:rFonts w:ascii="仿宋" w:hAnsi="仿宋" w:eastAsia="仿宋"/>
          <w:sz w:val="28"/>
          <w:szCs w:val="28"/>
          <w:highlight w:val="none"/>
        </w:rPr>
        <w:t>担</w:t>
      </w:r>
      <w:r>
        <w:rPr>
          <w:rFonts w:hint="eastAsia" w:ascii="仿宋" w:hAnsi="仿宋" w:eastAsia="仿宋"/>
          <w:sz w:val="28"/>
          <w:szCs w:val="28"/>
          <w:highlight w:val="none"/>
        </w:rPr>
        <w:t>。</w:t>
      </w:r>
    </w:p>
    <w:p w14:paraId="5B9E7347">
      <w:pPr>
        <w:keepNext w:val="0"/>
        <w:keepLines w:val="0"/>
        <w:pageBreakBefore w:val="0"/>
        <w:widowControl w:val="0"/>
        <w:kinsoku/>
        <w:wordWrap/>
        <w:overflowPunct/>
        <w:topLinePunct w:val="0"/>
        <w:autoSpaceDE/>
        <w:autoSpaceDN/>
        <w:bidi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）乙方未能在合同</w:t>
      </w:r>
      <w:r>
        <w:rPr>
          <w:rFonts w:ascii="仿宋" w:hAnsi="仿宋" w:eastAsia="仿宋"/>
          <w:sz w:val="28"/>
          <w:szCs w:val="28"/>
          <w:highlight w:val="none"/>
        </w:rPr>
        <w:t>规</w:t>
      </w:r>
      <w:r>
        <w:rPr>
          <w:rFonts w:hint="eastAsia" w:ascii="仿宋" w:hAnsi="仿宋" w:eastAsia="仿宋"/>
          <w:sz w:val="28"/>
          <w:szCs w:val="28"/>
          <w:highlight w:val="none"/>
        </w:rPr>
        <w:t>定的期限</w:t>
      </w:r>
      <w:r>
        <w:rPr>
          <w:rFonts w:ascii="仿宋" w:hAnsi="仿宋" w:eastAsia="仿宋"/>
          <w:sz w:val="28"/>
          <w:szCs w:val="28"/>
          <w:highlight w:val="none"/>
        </w:rPr>
        <w:t>内</w:t>
      </w:r>
      <w:r>
        <w:rPr>
          <w:rFonts w:hint="eastAsia" w:ascii="仿宋" w:hAnsi="仿宋" w:eastAsia="仿宋"/>
          <w:sz w:val="28"/>
          <w:szCs w:val="28"/>
          <w:highlight w:val="none"/>
        </w:rPr>
        <w:t>提服供货物</w:t>
      </w:r>
      <w:r>
        <w:rPr>
          <w:rFonts w:hint="eastAsia" w:ascii="仿宋" w:hAnsi="仿宋" w:eastAsia="仿宋"/>
          <w:sz w:val="28"/>
          <w:szCs w:val="28"/>
          <w:highlight w:val="none"/>
          <w:lang w:val="en-US" w:eastAsia="zh-CN"/>
        </w:rPr>
        <w:t>或服务</w:t>
      </w:r>
      <w:r>
        <w:rPr>
          <w:rFonts w:hint="eastAsia" w:ascii="仿宋" w:hAnsi="仿宋" w:eastAsia="仿宋"/>
          <w:sz w:val="28"/>
          <w:szCs w:val="28"/>
          <w:highlight w:val="none"/>
        </w:rPr>
        <w:t>。</w:t>
      </w:r>
    </w:p>
    <w:p w14:paraId="7AA1237D">
      <w:pPr>
        <w:keepNext w:val="0"/>
        <w:keepLines w:val="0"/>
        <w:pageBreakBefore w:val="0"/>
        <w:widowControl w:val="0"/>
        <w:kinsoku/>
        <w:wordWrap/>
        <w:overflowPunct/>
        <w:topLinePunct w:val="0"/>
        <w:autoSpaceDE/>
        <w:autoSpaceDN/>
        <w:bidi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）乙方未能履行合同</w:t>
      </w:r>
      <w:r>
        <w:rPr>
          <w:rFonts w:ascii="仿宋" w:hAnsi="仿宋" w:eastAsia="仿宋"/>
          <w:sz w:val="28"/>
          <w:szCs w:val="28"/>
          <w:highlight w:val="none"/>
        </w:rPr>
        <w:t>规</w:t>
      </w:r>
      <w:r>
        <w:rPr>
          <w:rFonts w:hint="eastAsia" w:ascii="仿宋" w:hAnsi="仿宋" w:eastAsia="仿宋"/>
          <w:sz w:val="28"/>
          <w:szCs w:val="28"/>
          <w:highlight w:val="none"/>
        </w:rPr>
        <w:t>定的其它</w:t>
      </w:r>
      <w:r>
        <w:rPr>
          <w:rFonts w:ascii="仿宋" w:hAnsi="仿宋" w:eastAsia="仿宋"/>
          <w:sz w:val="28"/>
          <w:szCs w:val="28"/>
          <w:highlight w:val="none"/>
        </w:rPr>
        <w:t>义务</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合同的全部或部分。</w:t>
      </w:r>
    </w:p>
    <w:p w14:paraId="12F1F8A4">
      <w:pPr>
        <w:keepNext w:val="0"/>
        <w:keepLines w:val="0"/>
        <w:pageBreakBefore w:val="0"/>
        <w:widowControl w:val="0"/>
        <w:kinsoku/>
        <w:wordWrap/>
        <w:overflowPunct/>
        <w:topLinePunct w:val="0"/>
        <w:autoSpaceDE/>
        <w:autoSpaceDN/>
        <w:bidi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）未</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书</w:t>
      </w:r>
      <w:r>
        <w:rPr>
          <w:rFonts w:hint="eastAsia" w:ascii="仿宋" w:hAnsi="仿宋" w:eastAsia="仿宋"/>
          <w:sz w:val="28"/>
          <w:szCs w:val="28"/>
          <w:highlight w:val="none"/>
        </w:rPr>
        <w:t>面同意，乙方私自</w:t>
      </w:r>
      <w:r>
        <w:rPr>
          <w:rFonts w:ascii="仿宋" w:hAnsi="仿宋" w:eastAsia="仿宋"/>
          <w:sz w:val="28"/>
          <w:szCs w:val="28"/>
          <w:highlight w:val="none"/>
        </w:rPr>
        <w:t>转让</w:t>
      </w:r>
      <w:r>
        <w:rPr>
          <w:rFonts w:hint="eastAsia" w:ascii="仿宋" w:hAnsi="仿宋" w:eastAsia="仿宋"/>
          <w:sz w:val="28"/>
          <w:szCs w:val="28"/>
          <w:highlight w:val="none"/>
        </w:rPr>
        <w:t>或分包其</w:t>
      </w:r>
      <w:r>
        <w:rPr>
          <w:rFonts w:ascii="仿宋" w:hAnsi="仿宋" w:eastAsia="仿宋"/>
          <w:sz w:val="28"/>
          <w:szCs w:val="28"/>
          <w:highlight w:val="none"/>
        </w:rPr>
        <w:t>应</w:t>
      </w:r>
      <w:r>
        <w:rPr>
          <w:rFonts w:hint="eastAsia" w:ascii="仿宋" w:hAnsi="仿宋" w:eastAsia="仿宋"/>
          <w:sz w:val="28"/>
          <w:szCs w:val="28"/>
          <w:highlight w:val="none"/>
        </w:rPr>
        <w:t>履行的合同</w:t>
      </w:r>
      <w:r>
        <w:rPr>
          <w:rFonts w:ascii="仿宋" w:hAnsi="仿宋" w:eastAsia="仿宋"/>
          <w:sz w:val="28"/>
          <w:szCs w:val="28"/>
          <w:highlight w:val="none"/>
        </w:rPr>
        <w:t>义务</w:t>
      </w:r>
      <w:r>
        <w:rPr>
          <w:rFonts w:hint="eastAsia" w:ascii="仿宋" w:hAnsi="仿宋" w:eastAsia="仿宋"/>
          <w:sz w:val="28"/>
          <w:szCs w:val="28"/>
          <w:highlight w:val="none"/>
        </w:rPr>
        <w:t>。</w:t>
      </w:r>
    </w:p>
    <w:p w14:paraId="1AF81B48">
      <w:pPr>
        <w:keepNext w:val="0"/>
        <w:keepLines w:val="0"/>
        <w:pageBreakBefore w:val="0"/>
        <w:widowControl w:val="0"/>
        <w:kinsoku/>
        <w:wordWrap/>
        <w:overflowPunct/>
        <w:topLinePunct w:val="0"/>
        <w:autoSpaceDE/>
        <w:autoSpaceDN/>
        <w:bidi w:val="0"/>
        <w:spacing w:line="42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lang w:val="en-US" w:eastAsia="zh-CN"/>
        </w:rPr>
        <w:t>1</w:t>
      </w:r>
      <w:r>
        <w:rPr>
          <w:rFonts w:hint="eastAsia" w:ascii="仿宋" w:hAnsi="仿宋" w:eastAsia="仿宋"/>
          <w:b/>
          <w:bCs/>
          <w:sz w:val="28"/>
          <w:szCs w:val="28"/>
          <w:highlight w:val="none"/>
        </w:rPr>
        <w:t>、仲裁</w:t>
      </w:r>
    </w:p>
    <w:p w14:paraId="52066476">
      <w:pPr>
        <w:keepNext w:val="0"/>
        <w:keepLines w:val="0"/>
        <w:pageBreakBefore w:val="0"/>
        <w:widowControl w:val="0"/>
        <w:kinsoku/>
        <w:wordWrap/>
        <w:overflowPunct/>
        <w:topLinePunct w:val="0"/>
        <w:autoSpaceDE/>
        <w:autoSpaceDN/>
        <w:bidi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乙双方应</w:t>
      </w:r>
      <w:r>
        <w:rPr>
          <w:rFonts w:hint="eastAsia" w:ascii="仿宋" w:hAnsi="仿宋" w:eastAsia="仿宋"/>
          <w:sz w:val="28"/>
          <w:szCs w:val="28"/>
          <w:highlight w:val="none"/>
        </w:rPr>
        <w:t>通</w:t>
      </w:r>
      <w:r>
        <w:rPr>
          <w:rFonts w:ascii="仿宋" w:hAnsi="仿宋" w:eastAsia="仿宋"/>
          <w:sz w:val="28"/>
          <w:szCs w:val="28"/>
          <w:highlight w:val="none"/>
        </w:rPr>
        <w:t>过</w:t>
      </w:r>
      <w:r>
        <w:rPr>
          <w:rFonts w:hint="eastAsia" w:ascii="仿宋" w:hAnsi="仿宋" w:eastAsia="仿宋"/>
          <w:sz w:val="28"/>
          <w:szCs w:val="28"/>
          <w:highlight w:val="none"/>
        </w:rPr>
        <w:t>友好</w:t>
      </w:r>
      <w:r>
        <w:rPr>
          <w:rFonts w:ascii="仿宋" w:hAnsi="仿宋" w:eastAsia="仿宋"/>
          <w:sz w:val="28"/>
          <w:szCs w:val="28"/>
          <w:highlight w:val="none"/>
        </w:rPr>
        <w:t>协</w:t>
      </w:r>
      <w:r>
        <w:rPr>
          <w:rFonts w:hint="eastAsia" w:ascii="仿宋" w:hAnsi="仿宋" w:eastAsia="仿宋"/>
          <w:sz w:val="28"/>
          <w:szCs w:val="28"/>
          <w:highlight w:val="none"/>
        </w:rPr>
        <w:t>商解</w:t>
      </w:r>
      <w:r>
        <w:rPr>
          <w:rFonts w:ascii="仿宋" w:hAnsi="仿宋" w:eastAsia="仿宋"/>
          <w:sz w:val="28"/>
          <w:szCs w:val="28"/>
          <w:highlight w:val="none"/>
        </w:rPr>
        <w:t>决</w:t>
      </w:r>
      <w:r>
        <w:rPr>
          <w:rFonts w:hint="eastAsia" w:ascii="仿宋" w:hAnsi="仿宋" w:eastAsia="仿宋"/>
          <w:sz w:val="28"/>
          <w:szCs w:val="28"/>
          <w:highlight w:val="none"/>
        </w:rPr>
        <w:t>在</w:t>
      </w:r>
      <w:r>
        <w:rPr>
          <w:rFonts w:ascii="仿宋" w:hAnsi="仿宋" w:eastAsia="仿宋"/>
          <w:sz w:val="28"/>
          <w:szCs w:val="28"/>
          <w:highlight w:val="none"/>
        </w:rPr>
        <w:t>执</w:t>
      </w:r>
      <w:r>
        <w:rPr>
          <w:rFonts w:hint="eastAsia" w:ascii="仿宋" w:hAnsi="仿宋" w:eastAsia="仿宋"/>
          <w:sz w:val="28"/>
          <w:szCs w:val="28"/>
          <w:highlight w:val="none"/>
        </w:rPr>
        <w:t>行本合同中所</w:t>
      </w:r>
      <w:r>
        <w:rPr>
          <w:rFonts w:ascii="仿宋" w:hAnsi="仿宋" w:eastAsia="仿宋"/>
          <w:sz w:val="28"/>
          <w:szCs w:val="28"/>
          <w:highlight w:val="none"/>
        </w:rPr>
        <w:t>发</w:t>
      </w:r>
      <w:r>
        <w:rPr>
          <w:rFonts w:hint="eastAsia" w:ascii="仿宋" w:hAnsi="仿宋" w:eastAsia="仿宋"/>
          <w:sz w:val="28"/>
          <w:szCs w:val="28"/>
          <w:highlight w:val="none"/>
        </w:rPr>
        <w:t>生的或与本合同有</w:t>
      </w:r>
      <w:r>
        <w:rPr>
          <w:rFonts w:ascii="仿宋" w:hAnsi="仿宋" w:eastAsia="仿宋"/>
          <w:sz w:val="28"/>
          <w:szCs w:val="28"/>
          <w:highlight w:val="none"/>
        </w:rPr>
        <w:t>关的争议</w:t>
      </w:r>
      <w:r>
        <w:rPr>
          <w:rFonts w:hint="eastAsia" w:ascii="仿宋" w:hAnsi="仿宋" w:eastAsia="仿宋"/>
          <w:sz w:val="28"/>
          <w:szCs w:val="28"/>
          <w:highlight w:val="none"/>
        </w:rPr>
        <w:t>。如</w:t>
      </w:r>
      <w:r>
        <w:rPr>
          <w:rFonts w:ascii="仿宋" w:hAnsi="仿宋" w:eastAsia="仿宋"/>
          <w:sz w:val="28"/>
          <w:szCs w:val="28"/>
          <w:highlight w:val="none"/>
        </w:rPr>
        <w:t>协</w:t>
      </w:r>
      <w:r>
        <w:rPr>
          <w:rFonts w:hint="eastAsia" w:ascii="仿宋" w:hAnsi="仿宋" w:eastAsia="仿宋"/>
          <w:sz w:val="28"/>
          <w:szCs w:val="28"/>
          <w:highlight w:val="none"/>
        </w:rPr>
        <w:t>商仍未解</w:t>
      </w:r>
      <w:r>
        <w:rPr>
          <w:rFonts w:ascii="仿宋" w:hAnsi="仿宋" w:eastAsia="仿宋"/>
          <w:sz w:val="28"/>
          <w:szCs w:val="28"/>
          <w:highlight w:val="none"/>
        </w:rPr>
        <w:t>决</w:t>
      </w:r>
      <w:r>
        <w:rPr>
          <w:rFonts w:hint="eastAsia" w:ascii="仿宋" w:hAnsi="仿宋" w:eastAsia="仿宋"/>
          <w:sz w:val="28"/>
          <w:szCs w:val="28"/>
          <w:highlight w:val="none"/>
        </w:rPr>
        <w:t>，任何一方都可按</w:t>
      </w:r>
      <w:r>
        <w:rPr>
          <w:rFonts w:hint="eastAsia" w:ascii="仿宋" w:hAnsi="仿宋" w:eastAsia="仿宋"/>
          <w:sz w:val="28"/>
          <w:szCs w:val="28"/>
          <w:highlight w:val="none"/>
          <w:lang w:eastAsia="zh-CN"/>
        </w:rPr>
        <w:t>《中华人民共和国民法典》</w:t>
      </w:r>
      <w:r>
        <w:rPr>
          <w:rFonts w:hint="eastAsia" w:ascii="仿宋" w:hAnsi="仿宋" w:eastAsia="仿宋"/>
          <w:sz w:val="28"/>
          <w:szCs w:val="28"/>
          <w:highlight w:val="none"/>
        </w:rPr>
        <w:t>的</w:t>
      </w:r>
      <w:r>
        <w:rPr>
          <w:rFonts w:ascii="仿宋" w:hAnsi="仿宋" w:eastAsia="仿宋"/>
          <w:sz w:val="28"/>
          <w:szCs w:val="28"/>
          <w:highlight w:val="none"/>
        </w:rPr>
        <w:t>规</w:t>
      </w:r>
      <w:r>
        <w:rPr>
          <w:rFonts w:hint="eastAsia" w:ascii="仿宋" w:hAnsi="仿宋" w:eastAsia="仿宋"/>
          <w:sz w:val="28"/>
          <w:szCs w:val="28"/>
          <w:highlight w:val="none"/>
        </w:rPr>
        <w:t>定到项目所在地的人民法院提起诉讼。</w:t>
      </w:r>
    </w:p>
    <w:p w14:paraId="63E47379">
      <w:pPr>
        <w:keepNext w:val="0"/>
        <w:keepLines w:val="0"/>
        <w:pageBreakBefore w:val="0"/>
        <w:widowControl w:val="0"/>
        <w:kinsoku/>
        <w:wordWrap/>
        <w:overflowPunct/>
        <w:topLinePunct w:val="0"/>
        <w:autoSpaceDE/>
        <w:autoSpaceDN/>
        <w:bidi w:val="0"/>
        <w:spacing w:line="42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lang w:val="en-US" w:eastAsia="zh-CN"/>
        </w:rPr>
        <w:t>2</w:t>
      </w:r>
      <w:r>
        <w:rPr>
          <w:rFonts w:hint="eastAsia" w:ascii="仿宋" w:hAnsi="仿宋" w:eastAsia="仿宋"/>
          <w:b/>
          <w:bCs/>
          <w:sz w:val="28"/>
          <w:szCs w:val="28"/>
          <w:highlight w:val="none"/>
        </w:rPr>
        <w:t>、合同的修改</w:t>
      </w:r>
    </w:p>
    <w:p w14:paraId="0E081B52">
      <w:pPr>
        <w:keepNext w:val="0"/>
        <w:keepLines w:val="0"/>
        <w:pageBreakBefore w:val="0"/>
        <w:widowControl w:val="0"/>
        <w:kinsoku/>
        <w:wordWrap/>
        <w:overflowPunct/>
        <w:topLinePunct w:val="0"/>
        <w:autoSpaceDE/>
        <w:autoSpaceDN/>
        <w:bidi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采购合同的双方当事人,不得擅自变更、中止或终止合同。</w:t>
      </w:r>
    </w:p>
    <w:p w14:paraId="015EDDDB">
      <w:pPr>
        <w:keepNext w:val="0"/>
        <w:keepLines w:val="0"/>
        <w:pageBreakBefore w:val="0"/>
        <w:widowControl w:val="0"/>
        <w:kinsoku/>
        <w:wordWrap/>
        <w:overflowPunct/>
        <w:topLinePunct w:val="0"/>
        <w:autoSpaceDE/>
        <w:autoSpaceDN/>
        <w:bidi w:val="0"/>
        <w:spacing w:line="42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lang w:val="en-US" w:eastAsia="zh-CN"/>
        </w:rPr>
        <w:t>3</w:t>
      </w:r>
      <w:r>
        <w:rPr>
          <w:rFonts w:hint="eastAsia" w:ascii="仿宋" w:hAnsi="仿宋" w:eastAsia="仿宋"/>
          <w:b/>
          <w:bCs/>
          <w:sz w:val="28"/>
          <w:szCs w:val="28"/>
          <w:highlight w:val="none"/>
        </w:rPr>
        <w:t>、合同的生效</w:t>
      </w:r>
    </w:p>
    <w:p w14:paraId="2ECF2A38">
      <w:pPr>
        <w:keepNext w:val="0"/>
        <w:keepLines w:val="0"/>
        <w:pageBreakBefore w:val="0"/>
        <w:widowControl w:val="0"/>
        <w:kinsoku/>
        <w:wordWrap/>
        <w:overflowPunct/>
        <w:topLinePunct w:val="0"/>
        <w:autoSpaceDE/>
        <w:autoSpaceDN/>
        <w:bidi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w:t>
      </w:r>
      <w:r>
        <w:rPr>
          <w:rFonts w:ascii="仿宋" w:hAnsi="仿宋" w:eastAsia="仿宋"/>
          <w:sz w:val="28"/>
          <w:szCs w:val="28"/>
          <w:highlight w:val="none"/>
        </w:rPr>
        <w:t>双方</w:t>
      </w:r>
      <w:r>
        <w:rPr>
          <w:rFonts w:hint="eastAsia" w:ascii="仿宋" w:hAnsi="仿宋" w:eastAsia="仿宋"/>
          <w:sz w:val="28"/>
          <w:szCs w:val="28"/>
          <w:highlight w:val="none"/>
        </w:rPr>
        <w:t>授</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签</w:t>
      </w:r>
      <w:r>
        <w:rPr>
          <w:rFonts w:hint="eastAsia" w:ascii="仿宋" w:hAnsi="仿宋" w:eastAsia="仿宋"/>
          <w:sz w:val="28"/>
          <w:szCs w:val="28"/>
          <w:highlight w:val="none"/>
        </w:rPr>
        <w:t>署，甲</w:t>
      </w:r>
      <w:r>
        <w:rPr>
          <w:rFonts w:ascii="仿宋" w:hAnsi="仿宋" w:eastAsia="仿宋"/>
          <w:sz w:val="28"/>
          <w:szCs w:val="28"/>
          <w:highlight w:val="none"/>
        </w:rPr>
        <w:t>乙双方</w:t>
      </w:r>
      <w:r>
        <w:rPr>
          <w:rFonts w:hint="eastAsia" w:ascii="仿宋" w:hAnsi="仿宋" w:eastAsia="仿宋"/>
          <w:sz w:val="28"/>
          <w:szCs w:val="28"/>
          <w:highlight w:val="none"/>
        </w:rPr>
        <w:t>加</w:t>
      </w:r>
      <w:r>
        <w:rPr>
          <w:rFonts w:ascii="仿宋" w:hAnsi="仿宋" w:eastAsia="仿宋"/>
          <w:sz w:val="28"/>
          <w:szCs w:val="28"/>
          <w:highlight w:val="none"/>
        </w:rPr>
        <w:t>盖</w:t>
      </w:r>
      <w:r>
        <w:rPr>
          <w:rFonts w:hint="eastAsia" w:ascii="仿宋" w:hAnsi="仿宋" w:eastAsia="仿宋"/>
          <w:sz w:val="28"/>
          <w:szCs w:val="28"/>
          <w:highlight w:val="none"/>
        </w:rPr>
        <w:t>印章后生效。本合同共</w:t>
      </w:r>
      <w:r>
        <w:rPr>
          <w:rFonts w:hint="eastAsia" w:ascii="仿宋" w:hAnsi="仿宋" w:eastAsia="仿宋"/>
          <w:sz w:val="28"/>
          <w:szCs w:val="28"/>
          <w:highlight w:val="none"/>
          <w:lang w:val="en-US" w:eastAsia="zh-CN"/>
        </w:rPr>
        <w:t>陆</w:t>
      </w:r>
      <w:r>
        <w:rPr>
          <w:rFonts w:hint="eastAsia" w:ascii="仿宋" w:hAnsi="仿宋" w:eastAsia="仿宋"/>
          <w:sz w:val="28"/>
          <w:szCs w:val="28"/>
          <w:highlight w:val="none"/>
        </w:rPr>
        <w:t>份，甲</w:t>
      </w:r>
      <w:r>
        <w:rPr>
          <w:rFonts w:hint="eastAsia" w:ascii="仿宋" w:hAnsi="仿宋" w:eastAsia="仿宋"/>
          <w:sz w:val="28"/>
          <w:szCs w:val="28"/>
          <w:highlight w:val="none"/>
          <w:lang w:val="en-US" w:eastAsia="zh-CN"/>
        </w:rPr>
        <w:t>方叁份</w:t>
      </w:r>
      <w:r>
        <w:rPr>
          <w:rFonts w:ascii="仿宋" w:hAnsi="仿宋" w:eastAsia="仿宋"/>
          <w:sz w:val="28"/>
          <w:szCs w:val="28"/>
          <w:highlight w:val="none"/>
        </w:rPr>
        <w:t>、乙双方</w:t>
      </w:r>
      <w:r>
        <w:rPr>
          <w:rFonts w:hint="eastAsia" w:ascii="仿宋" w:hAnsi="仿宋" w:eastAsia="仿宋"/>
          <w:sz w:val="28"/>
          <w:szCs w:val="28"/>
          <w:highlight w:val="none"/>
        </w:rPr>
        <w:t>各</w:t>
      </w:r>
      <w:r>
        <w:rPr>
          <w:rFonts w:hint="eastAsia" w:ascii="仿宋" w:hAnsi="仿宋" w:eastAsia="仿宋"/>
          <w:sz w:val="28"/>
          <w:szCs w:val="28"/>
          <w:highlight w:val="none"/>
          <w:lang w:val="en-US" w:eastAsia="zh-CN"/>
        </w:rPr>
        <w:t>贰</w:t>
      </w:r>
      <w:r>
        <w:rPr>
          <w:rFonts w:hint="eastAsia" w:ascii="仿宋" w:hAnsi="仿宋" w:eastAsia="仿宋"/>
          <w:sz w:val="28"/>
          <w:szCs w:val="28"/>
          <w:highlight w:val="none"/>
        </w:rPr>
        <w:t>份，招标代理机构</w:t>
      </w:r>
      <w:r>
        <w:rPr>
          <w:rFonts w:hint="eastAsia" w:ascii="仿宋" w:hAnsi="仿宋" w:eastAsia="仿宋"/>
          <w:sz w:val="28"/>
          <w:szCs w:val="28"/>
          <w:highlight w:val="none"/>
          <w:lang w:val="en-US" w:eastAsia="zh-CN"/>
        </w:rPr>
        <w:t>壹</w:t>
      </w:r>
      <w:r>
        <w:rPr>
          <w:rFonts w:hint="eastAsia" w:ascii="仿宋" w:hAnsi="仿宋" w:eastAsia="仿宋"/>
          <w:sz w:val="28"/>
          <w:szCs w:val="28"/>
          <w:highlight w:val="none"/>
        </w:rPr>
        <w:t>份。</w:t>
      </w:r>
    </w:p>
    <w:p w14:paraId="1390131D">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ascii="仿宋" w:hAnsi="仿宋" w:eastAsia="仿宋"/>
          <w:sz w:val="28"/>
          <w:szCs w:val="28"/>
          <w:highlight w:val="none"/>
        </w:rPr>
      </w:pPr>
    </w:p>
    <w:p w14:paraId="4276C3A9">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盖</w:t>
      </w:r>
      <w:r>
        <w:rPr>
          <w:rFonts w:hint="eastAsia" w:ascii="仿宋" w:hAnsi="仿宋" w:eastAsia="仿宋"/>
          <w:sz w:val="28"/>
          <w:szCs w:val="28"/>
          <w:highlight w:val="none"/>
        </w:rPr>
        <w:t>章）：</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ascii="仿宋" w:hAnsi="仿宋" w:eastAsia="仿宋"/>
          <w:sz w:val="28"/>
          <w:szCs w:val="28"/>
          <w:highlight w:val="none"/>
        </w:rPr>
        <w:t>盖</w:t>
      </w:r>
      <w:r>
        <w:rPr>
          <w:rFonts w:hint="eastAsia" w:ascii="仿宋" w:hAnsi="仿宋" w:eastAsia="仿宋"/>
          <w:sz w:val="28"/>
          <w:szCs w:val="28"/>
          <w:highlight w:val="none"/>
        </w:rPr>
        <w:t xml:space="preserve">章）：      </w:t>
      </w:r>
    </w:p>
    <w:p w14:paraId="5F037E71">
      <w:pPr>
        <w:keepNext w:val="0"/>
        <w:keepLines w:val="0"/>
        <w:pageBreakBefore w:val="0"/>
        <w:widowControl w:val="0"/>
        <w:tabs>
          <w:tab w:val="left" w:pos="1260"/>
          <w:tab w:val="left" w:pos="522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经办人</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hint="eastAsia" w:ascii="仿宋" w:hAnsi="仿宋" w:eastAsia="仿宋"/>
          <w:sz w:val="28"/>
          <w:szCs w:val="28"/>
          <w:highlight w:val="none"/>
          <w:lang w:val="en-US" w:eastAsia="zh-CN"/>
        </w:rPr>
        <w:t>或签章</w:t>
      </w:r>
      <w:r>
        <w:rPr>
          <w:rFonts w:hint="eastAsia" w:ascii="仿宋" w:hAnsi="仿宋" w:eastAsia="仿宋"/>
          <w:sz w:val="28"/>
          <w:szCs w:val="28"/>
          <w:highlight w:val="none"/>
        </w:rPr>
        <w:t>）：</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经办人</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hint="eastAsia" w:ascii="仿宋" w:hAnsi="仿宋" w:eastAsia="仿宋"/>
          <w:sz w:val="28"/>
          <w:szCs w:val="28"/>
          <w:highlight w:val="none"/>
          <w:lang w:val="en-US" w:eastAsia="zh-CN"/>
        </w:rPr>
        <w:t>或签章</w:t>
      </w:r>
      <w:r>
        <w:rPr>
          <w:rFonts w:hint="eastAsia" w:ascii="仿宋" w:hAnsi="仿宋" w:eastAsia="仿宋"/>
          <w:sz w:val="28"/>
          <w:szCs w:val="28"/>
          <w:highlight w:val="none"/>
        </w:rPr>
        <w:t xml:space="preserve">）：   </w:t>
      </w:r>
    </w:p>
    <w:p w14:paraId="5CFB9B81">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ascii="仿宋" w:hAnsi="仿宋" w:eastAsia="仿宋"/>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14:paraId="173C10BE">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ascii="仿宋" w:hAnsi="仿宋" w:eastAsia="仿宋"/>
          <w:sz w:val="28"/>
          <w:szCs w:val="28"/>
          <w:highlight w:val="none"/>
        </w:rPr>
      </w:pPr>
    </w:p>
    <w:p w14:paraId="55CE743F">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textAlignment w:val="auto"/>
        <w:rPr>
          <w:rFonts w:hint="eastAsia" w:ascii="仿宋" w:hAnsi="仿宋" w:eastAsia="仿宋"/>
          <w:b/>
          <w:sz w:val="32"/>
          <w:szCs w:val="28"/>
          <w:highlight w:val="none"/>
        </w:rPr>
      </w:pPr>
      <w:r>
        <w:rPr>
          <w:rFonts w:hint="eastAsia" w:ascii="仿宋" w:hAnsi="仿宋" w:eastAsia="仿宋"/>
          <w:b/>
          <w:sz w:val="28"/>
          <w:szCs w:val="24"/>
          <w:highlight w:val="none"/>
        </w:rPr>
        <w:t>注：附</w:t>
      </w:r>
      <w:r>
        <w:rPr>
          <w:rFonts w:hint="eastAsia" w:ascii="仿宋" w:hAnsi="仿宋" w:eastAsia="仿宋"/>
          <w:b/>
          <w:sz w:val="28"/>
          <w:szCs w:val="24"/>
          <w:highlight w:val="none"/>
          <w:lang w:val="en-US" w:eastAsia="zh-CN"/>
        </w:rPr>
        <w:t>报价一览表、二次报价承诺函、服务承诺</w:t>
      </w:r>
      <w:r>
        <w:rPr>
          <w:rFonts w:hint="eastAsia" w:ascii="仿宋" w:hAnsi="仿宋" w:eastAsia="仿宋"/>
          <w:b/>
          <w:sz w:val="28"/>
          <w:szCs w:val="24"/>
          <w:highlight w:val="none"/>
        </w:rPr>
        <w:t>、</w:t>
      </w:r>
      <w:r>
        <w:rPr>
          <w:rFonts w:hint="eastAsia" w:ascii="仿宋" w:hAnsi="仿宋" w:eastAsia="仿宋"/>
          <w:b/>
          <w:sz w:val="28"/>
          <w:szCs w:val="24"/>
          <w:highlight w:val="none"/>
          <w:lang w:eastAsia="zh-CN"/>
        </w:rPr>
        <w:t>成交通知书</w:t>
      </w:r>
      <w:r>
        <w:rPr>
          <w:rFonts w:hint="eastAsia" w:ascii="仿宋" w:hAnsi="仿宋" w:eastAsia="仿宋"/>
          <w:b/>
          <w:sz w:val="32"/>
          <w:szCs w:val="28"/>
          <w:highlight w:val="none"/>
        </w:rPr>
        <w:t>。</w:t>
      </w:r>
    </w:p>
    <w:p w14:paraId="3B314D5B">
      <w:pPr>
        <w:pStyle w:val="10"/>
        <w:rPr>
          <w:rStyle w:val="21"/>
          <w:rFonts w:ascii="仿宋" w:hAnsi="仿宋" w:eastAsia="仿宋" w:cs="宋体"/>
          <w:b w:val="0"/>
          <w:kern w:val="0"/>
          <w:sz w:val="28"/>
          <w:szCs w:val="28"/>
          <w:highlight w:val="none"/>
        </w:rPr>
      </w:pPr>
      <w:r>
        <w:rPr>
          <w:rFonts w:hint="eastAsia" w:ascii="仿宋" w:hAnsi="仿宋" w:eastAsia="仿宋"/>
          <w:b/>
          <w:sz w:val="32"/>
          <w:szCs w:val="28"/>
          <w:highlight w:val="none"/>
        </w:rPr>
        <w:br w:type="page"/>
      </w:r>
    </w:p>
    <w:p w14:paraId="76C8B95E">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1"/>
          <w:rFonts w:ascii="仿宋" w:hAnsi="仿宋" w:eastAsia="仿宋" w:cs="宋体"/>
          <w:kern w:val="0"/>
          <w:highlight w:val="none"/>
        </w:rPr>
      </w:pPr>
      <w:r>
        <w:rPr>
          <w:rStyle w:val="21"/>
          <w:rFonts w:ascii="仿宋" w:hAnsi="仿宋" w:eastAsia="仿宋" w:cs="宋体"/>
          <w:kern w:val="0"/>
          <w:highlight w:val="none"/>
        </w:rPr>
        <w:t xml:space="preserve">第七部分 </w:t>
      </w:r>
      <w:r>
        <w:rPr>
          <w:rStyle w:val="21"/>
          <w:rFonts w:hint="eastAsia" w:ascii="仿宋" w:hAnsi="仿宋" w:eastAsia="仿宋" w:cs="宋体"/>
          <w:kern w:val="0"/>
          <w:highlight w:val="none"/>
        </w:rPr>
        <w:t>响应</w:t>
      </w:r>
      <w:r>
        <w:rPr>
          <w:rStyle w:val="21"/>
          <w:rFonts w:ascii="仿宋" w:hAnsi="仿宋" w:eastAsia="仿宋" w:cs="宋体"/>
          <w:kern w:val="0"/>
          <w:highlight w:val="none"/>
        </w:rPr>
        <w:t>文件格式</w:t>
      </w:r>
    </w:p>
    <w:p w14:paraId="45075235">
      <w:pPr>
        <w:pStyle w:val="10"/>
        <w:spacing w:line="340" w:lineRule="exact"/>
        <w:rPr>
          <w:rStyle w:val="21"/>
          <w:rFonts w:ascii="仿宋" w:hAnsi="仿宋" w:eastAsia="仿宋" w:cs="宋体"/>
          <w:b w:val="0"/>
          <w:kern w:val="0"/>
          <w:sz w:val="28"/>
          <w:highlight w:val="none"/>
        </w:rPr>
      </w:pPr>
      <w:r>
        <w:rPr>
          <w:rStyle w:val="21"/>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14:paraId="54A78E9C">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uLo2QAAAAsBAAAPAAAAAAAAAAEAIAAAACIAAABkcnMv&#10;ZG93bnJldi54bWxQSwECFAAUAAAACACHTuJAHIz5zDsCAAB9BAAADgAAAAAAAAABACAAAAAoAQAA&#10;ZHJzL2Uyb0RvYy54bWxQSwUGAAAAAAYABgBZAQAA1QUAAAAA&#10;">
                <v:fill on="t" focussize="0,0"/>
                <v:stroke color="#000000" miterlimit="8" joinstyle="miter"/>
                <v:imagedata o:title=""/>
                <o:lock v:ext="edit" aspectratio="f"/>
                <v:textbox style="mso-fit-shape-to-text:t;">
                  <w:txbxContent>
                    <w:p w14:paraId="54A78E9C">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14:paraId="389161A3">
      <w:pPr>
        <w:pStyle w:val="10"/>
        <w:spacing w:line="340" w:lineRule="exact"/>
        <w:rPr>
          <w:rStyle w:val="21"/>
          <w:rFonts w:ascii="仿宋" w:hAnsi="仿宋" w:eastAsia="仿宋" w:cs="宋体"/>
          <w:b w:val="0"/>
          <w:kern w:val="0"/>
          <w:sz w:val="28"/>
          <w:highlight w:val="none"/>
        </w:rPr>
      </w:pPr>
    </w:p>
    <w:p w14:paraId="5A188768">
      <w:pPr>
        <w:pStyle w:val="10"/>
        <w:spacing w:line="340" w:lineRule="exact"/>
        <w:rPr>
          <w:rStyle w:val="21"/>
          <w:rFonts w:ascii="仿宋" w:hAnsi="仿宋" w:eastAsia="仿宋" w:cs="宋体"/>
          <w:b w:val="0"/>
          <w:kern w:val="0"/>
          <w:sz w:val="28"/>
          <w:highlight w:val="none"/>
        </w:rPr>
      </w:pPr>
    </w:p>
    <w:p w14:paraId="31D18AE2">
      <w:pPr>
        <w:pStyle w:val="10"/>
        <w:spacing w:line="340" w:lineRule="exact"/>
        <w:rPr>
          <w:rStyle w:val="21"/>
          <w:rFonts w:ascii="仿宋" w:hAnsi="仿宋" w:eastAsia="仿宋" w:cs="宋体"/>
          <w:b w:val="0"/>
          <w:kern w:val="0"/>
          <w:sz w:val="28"/>
          <w:highlight w:val="none"/>
        </w:rPr>
      </w:pPr>
    </w:p>
    <w:p w14:paraId="3AA32CE6">
      <w:pPr>
        <w:pStyle w:val="10"/>
        <w:spacing w:line="340" w:lineRule="exact"/>
        <w:rPr>
          <w:rStyle w:val="21"/>
          <w:rFonts w:ascii="仿宋" w:hAnsi="仿宋" w:eastAsia="仿宋" w:cs="宋体"/>
          <w:b w:val="0"/>
          <w:kern w:val="0"/>
          <w:sz w:val="28"/>
          <w:highlight w:val="none"/>
        </w:rPr>
      </w:pPr>
    </w:p>
    <w:p w14:paraId="2FB642B2">
      <w:pPr>
        <w:pStyle w:val="10"/>
        <w:spacing w:line="340" w:lineRule="exact"/>
        <w:rPr>
          <w:rStyle w:val="21"/>
          <w:rFonts w:ascii="仿宋" w:hAnsi="仿宋" w:eastAsia="仿宋" w:cs="宋体"/>
          <w:b w:val="0"/>
          <w:kern w:val="0"/>
          <w:sz w:val="28"/>
          <w:highlight w:val="none"/>
        </w:rPr>
      </w:pPr>
    </w:p>
    <w:p w14:paraId="48683EBC">
      <w:pPr>
        <w:pStyle w:val="10"/>
        <w:spacing w:line="340" w:lineRule="exact"/>
        <w:rPr>
          <w:rStyle w:val="21"/>
          <w:rFonts w:hint="default" w:ascii="仿宋" w:hAnsi="仿宋" w:eastAsia="仿宋" w:cs="宋体"/>
          <w:b/>
          <w:bCs w:val="0"/>
          <w:kern w:val="0"/>
          <w:sz w:val="28"/>
          <w:highlight w:val="none"/>
          <w:lang w:val="en-US" w:eastAsia="zh-CN"/>
        </w:rPr>
      </w:pPr>
      <w:r>
        <w:rPr>
          <w:rStyle w:val="21"/>
          <w:rFonts w:hint="eastAsia" w:ascii="仿宋" w:hAnsi="仿宋" w:eastAsia="仿宋" w:cs="宋体"/>
          <w:b w:val="0"/>
          <w:kern w:val="0"/>
          <w:sz w:val="28"/>
          <w:highlight w:val="none"/>
          <w:lang w:val="en-US" w:eastAsia="zh-CN"/>
        </w:rPr>
        <w:t xml:space="preserve">                                                </w:t>
      </w:r>
    </w:p>
    <w:p w14:paraId="7CD211D5">
      <w:pPr>
        <w:pStyle w:val="10"/>
        <w:spacing w:line="340" w:lineRule="exact"/>
        <w:rPr>
          <w:rStyle w:val="21"/>
          <w:rFonts w:ascii="仿宋" w:hAnsi="仿宋" w:eastAsia="仿宋" w:cs="宋体"/>
          <w:b w:val="0"/>
          <w:kern w:val="0"/>
          <w:sz w:val="28"/>
          <w:highlight w:val="none"/>
        </w:rPr>
      </w:pPr>
    </w:p>
    <w:p w14:paraId="5179E7BE">
      <w:pPr>
        <w:pStyle w:val="10"/>
        <w:spacing w:line="340" w:lineRule="exact"/>
        <w:rPr>
          <w:rStyle w:val="21"/>
          <w:rFonts w:ascii="仿宋" w:hAnsi="仿宋" w:eastAsia="仿宋" w:cs="宋体"/>
          <w:b w:val="0"/>
          <w:kern w:val="0"/>
          <w:sz w:val="28"/>
          <w:highlight w:val="none"/>
        </w:rPr>
      </w:pPr>
    </w:p>
    <w:p w14:paraId="697657EC">
      <w:pPr>
        <w:pStyle w:val="10"/>
        <w:spacing w:line="340" w:lineRule="exact"/>
        <w:rPr>
          <w:rStyle w:val="21"/>
          <w:rFonts w:ascii="仿宋" w:hAnsi="仿宋" w:eastAsia="仿宋" w:cs="宋体"/>
          <w:b w:val="0"/>
          <w:kern w:val="0"/>
          <w:sz w:val="28"/>
          <w:highlight w:val="none"/>
        </w:rPr>
      </w:pPr>
    </w:p>
    <w:p w14:paraId="777AB0B3">
      <w:pPr>
        <w:pStyle w:val="10"/>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1"/>
          <w:rFonts w:ascii="仿宋" w:hAnsi="仿宋" w:eastAsia="仿宋" w:cs="宋体"/>
          <w:b/>
          <w:bCs w:val="0"/>
          <w:kern w:val="0"/>
          <w:sz w:val="36"/>
          <w:szCs w:val="24"/>
          <w:highlight w:val="none"/>
        </w:rPr>
      </w:pPr>
      <w:r>
        <w:rPr>
          <w:rStyle w:val="21"/>
          <w:rFonts w:ascii="仿宋" w:hAnsi="仿宋" w:eastAsia="仿宋" w:cs="宋体"/>
          <w:b/>
          <w:bCs w:val="0"/>
          <w:kern w:val="0"/>
          <w:sz w:val="36"/>
          <w:szCs w:val="24"/>
          <w:highlight w:val="none"/>
        </w:rPr>
        <w:t>（项目名称）竞争性磋商</w:t>
      </w:r>
    </w:p>
    <w:p w14:paraId="73E7086E">
      <w:pPr>
        <w:pStyle w:val="10"/>
        <w:spacing w:before="936" w:beforeLines="300" w:line="480" w:lineRule="auto"/>
        <w:jc w:val="center"/>
        <w:rPr>
          <w:rStyle w:val="21"/>
          <w:rFonts w:ascii="仿宋" w:hAnsi="仿宋" w:eastAsia="仿宋" w:cs="宋体"/>
          <w:kern w:val="0"/>
          <w:sz w:val="52"/>
          <w:highlight w:val="none"/>
        </w:rPr>
      </w:pPr>
      <w:r>
        <w:rPr>
          <w:rStyle w:val="21"/>
          <w:rFonts w:hint="eastAsia" w:ascii="仿宋" w:hAnsi="仿宋" w:eastAsia="仿宋" w:cs="宋体"/>
          <w:kern w:val="0"/>
          <w:sz w:val="52"/>
          <w:highlight w:val="none"/>
        </w:rPr>
        <w:t>响 应 文 件</w:t>
      </w:r>
    </w:p>
    <w:p w14:paraId="6980CA05">
      <w:pPr>
        <w:pStyle w:val="10"/>
        <w:spacing w:line="340" w:lineRule="exact"/>
        <w:ind w:firstLine="2800" w:firstLineChars="1000"/>
        <w:rPr>
          <w:rStyle w:val="21"/>
          <w:rFonts w:ascii="仿宋" w:hAnsi="仿宋" w:eastAsia="仿宋" w:cs="宋体"/>
          <w:b w:val="0"/>
          <w:kern w:val="0"/>
          <w:sz w:val="28"/>
          <w:highlight w:val="none"/>
        </w:rPr>
      </w:pPr>
    </w:p>
    <w:p w14:paraId="37791007">
      <w:pPr>
        <w:pStyle w:val="10"/>
        <w:spacing w:line="340" w:lineRule="exact"/>
        <w:ind w:firstLine="2800" w:firstLineChars="1000"/>
        <w:rPr>
          <w:rStyle w:val="21"/>
          <w:rFonts w:ascii="仿宋" w:hAnsi="仿宋" w:eastAsia="仿宋" w:cs="宋体"/>
          <w:b w:val="0"/>
          <w:kern w:val="0"/>
          <w:sz w:val="28"/>
          <w:highlight w:val="none"/>
        </w:rPr>
      </w:pPr>
    </w:p>
    <w:p w14:paraId="79F219B2">
      <w:pPr>
        <w:pStyle w:val="10"/>
        <w:spacing w:line="340" w:lineRule="exact"/>
        <w:ind w:firstLine="2800" w:firstLineChars="1000"/>
        <w:rPr>
          <w:rStyle w:val="21"/>
          <w:rFonts w:ascii="仿宋" w:hAnsi="仿宋" w:eastAsia="仿宋" w:cs="宋体"/>
          <w:b w:val="0"/>
          <w:kern w:val="0"/>
          <w:sz w:val="28"/>
          <w:highlight w:val="none"/>
        </w:rPr>
      </w:pPr>
    </w:p>
    <w:p w14:paraId="348CD4BD">
      <w:pPr>
        <w:pStyle w:val="10"/>
        <w:spacing w:line="340" w:lineRule="exact"/>
        <w:ind w:firstLine="2800" w:firstLineChars="1000"/>
        <w:rPr>
          <w:rStyle w:val="21"/>
          <w:rFonts w:ascii="仿宋" w:hAnsi="仿宋" w:eastAsia="仿宋" w:cs="宋体"/>
          <w:b w:val="0"/>
          <w:kern w:val="0"/>
          <w:sz w:val="28"/>
          <w:highlight w:val="none"/>
        </w:rPr>
      </w:pPr>
    </w:p>
    <w:p w14:paraId="1E067024">
      <w:pPr>
        <w:pStyle w:val="10"/>
        <w:spacing w:line="340" w:lineRule="exact"/>
        <w:ind w:firstLine="2800" w:firstLineChars="1000"/>
        <w:rPr>
          <w:rStyle w:val="21"/>
          <w:rFonts w:ascii="仿宋" w:hAnsi="仿宋" w:eastAsia="仿宋" w:cs="宋体"/>
          <w:b w:val="0"/>
          <w:kern w:val="0"/>
          <w:sz w:val="28"/>
          <w:highlight w:val="none"/>
        </w:rPr>
      </w:pPr>
    </w:p>
    <w:p w14:paraId="5FF73D7E">
      <w:pPr>
        <w:pStyle w:val="10"/>
        <w:spacing w:line="340" w:lineRule="exact"/>
        <w:ind w:firstLine="2800" w:firstLineChars="1000"/>
        <w:rPr>
          <w:rStyle w:val="21"/>
          <w:rFonts w:ascii="仿宋" w:hAnsi="仿宋" w:eastAsia="仿宋" w:cs="宋体"/>
          <w:b w:val="0"/>
          <w:kern w:val="0"/>
          <w:sz w:val="28"/>
          <w:highlight w:val="none"/>
        </w:rPr>
      </w:pPr>
    </w:p>
    <w:p w14:paraId="4F29739A">
      <w:pPr>
        <w:pStyle w:val="10"/>
        <w:spacing w:line="340" w:lineRule="exact"/>
        <w:ind w:firstLine="2800" w:firstLineChars="1000"/>
        <w:rPr>
          <w:rStyle w:val="21"/>
          <w:rFonts w:ascii="仿宋" w:hAnsi="仿宋" w:eastAsia="仿宋" w:cs="宋体"/>
          <w:b w:val="0"/>
          <w:kern w:val="0"/>
          <w:sz w:val="28"/>
          <w:highlight w:val="none"/>
        </w:rPr>
      </w:pPr>
    </w:p>
    <w:p w14:paraId="3D206C76">
      <w:pPr>
        <w:pStyle w:val="10"/>
        <w:spacing w:line="340" w:lineRule="exact"/>
        <w:ind w:firstLine="2800" w:firstLineChars="1000"/>
        <w:rPr>
          <w:rStyle w:val="21"/>
          <w:rFonts w:ascii="仿宋" w:hAnsi="仿宋" w:eastAsia="仿宋" w:cs="宋体"/>
          <w:b w:val="0"/>
          <w:kern w:val="0"/>
          <w:sz w:val="28"/>
          <w:highlight w:val="none"/>
        </w:rPr>
      </w:pPr>
    </w:p>
    <w:p w14:paraId="503E6CEA">
      <w:pPr>
        <w:pStyle w:val="10"/>
        <w:spacing w:line="340" w:lineRule="exact"/>
        <w:ind w:firstLine="1400" w:firstLineChars="500"/>
        <w:rPr>
          <w:rStyle w:val="21"/>
          <w:rFonts w:ascii="仿宋" w:hAnsi="仿宋" w:eastAsia="仿宋" w:cs="宋体"/>
          <w:b w:val="0"/>
          <w:kern w:val="0"/>
          <w:sz w:val="28"/>
          <w:highlight w:val="none"/>
        </w:rPr>
      </w:pPr>
    </w:p>
    <w:p w14:paraId="435BBE70">
      <w:pPr>
        <w:pStyle w:val="10"/>
        <w:spacing w:line="340" w:lineRule="exact"/>
        <w:ind w:firstLine="1400" w:firstLineChars="500"/>
        <w:rPr>
          <w:rStyle w:val="21"/>
          <w:rFonts w:ascii="仿宋" w:hAnsi="仿宋" w:eastAsia="仿宋" w:cs="宋体"/>
          <w:b w:val="0"/>
          <w:kern w:val="0"/>
          <w:sz w:val="28"/>
          <w:highlight w:val="none"/>
        </w:rPr>
      </w:pPr>
    </w:p>
    <w:p w14:paraId="63427406">
      <w:pPr>
        <w:pStyle w:val="10"/>
        <w:spacing w:line="340" w:lineRule="exact"/>
        <w:ind w:firstLine="1400" w:firstLineChars="500"/>
        <w:rPr>
          <w:rStyle w:val="21"/>
          <w:rFonts w:ascii="仿宋" w:hAnsi="仿宋" w:eastAsia="仿宋" w:cs="宋体"/>
          <w:b w:val="0"/>
          <w:kern w:val="0"/>
          <w:sz w:val="28"/>
          <w:highlight w:val="none"/>
        </w:rPr>
      </w:pPr>
    </w:p>
    <w:p w14:paraId="4371AA2B">
      <w:pPr>
        <w:pStyle w:val="10"/>
        <w:spacing w:line="340" w:lineRule="exact"/>
        <w:ind w:firstLine="1400" w:firstLineChars="500"/>
        <w:rPr>
          <w:rStyle w:val="21"/>
          <w:rFonts w:ascii="仿宋" w:hAnsi="仿宋" w:eastAsia="仿宋" w:cs="宋体"/>
          <w:b w:val="0"/>
          <w:kern w:val="0"/>
          <w:sz w:val="28"/>
          <w:highlight w:val="none"/>
        </w:rPr>
      </w:pPr>
    </w:p>
    <w:p w14:paraId="28F4718D">
      <w:pPr>
        <w:pStyle w:val="10"/>
        <w:ind w:firstLine="1600" w:firstLineChars="500"/>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供应商：（盖单位</w:t>
      </w:r>
      <w:r>
        <w:rPr>
          <w:rStyle w:val="21"/>
          <w:rFonts w:hint="eastAsia" w:ascii="仿宋" w:hAnsi="仿宋" w:eastAsia="仿宋" w:cs="宋体"/>
          <w:b w:val="0"/>
          <w:kern w:val="0"/>
          <w:sz w:val="32"/>
          <w:szCs w:val="22"/>
          <w:highlight w:val="none"/>
          <w:lang w:eastAsia="zh-CN"/>
        </w:rPr>
        <w:t>公章</w:t>
      </w:r>
      <w:r>
        <w:rPr>
          <w:rStyle w:val="21"/>
          <w:rFonts w:hint="eastAsia" w:ascii="仿宋" w:hAnsi="仿宋" w:eastAsia="仿宋" w:cs="宋体"/>
          <w:b w:val="0"/>
          <w:kern w:val="0"/>
          <w:sz w:val="32"/>
          <w:szCs w:val="22"/>
          <w:highlight w:val="none"/>
        </w:rPr>
        <w:t>）</w:t>
      </w:r>
    </w:p>
    <w:p w14:paraId="2D3F9CEC">
      <w:pPr>
        <w:pStyle w:val="10"/>
        <w:ind w:firstLine="1600" w:firstLineChars="500"/>
        <w:rPr>
          <w:rStyle w:val="21"/>
          <w:rFonts w:ascii="仿宋" w:hAnsi="仿宋" w:eastAsia="仿宋" w:cs="宋体"/>
          <w:b w:val="0"/>
          <w:kern w:val="0"/>
          <w:sz w:val="32"/>
          <w:szCs w:val="22"/>
          <w:highlight w:val="none"/>
        </w:rPr>
      </w:pPr>
    </w:p>
    <w:p w14:paraId="7AC1EA1D">
      <w:pPr>
        <w:pStyle w:val="10"/>
        <w:ind w:firstLine="1600" w:firstLineChars="500"/>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法定代表人或其委托代理人：（</w:t>
      </w:r>
      <w:r>
        <w:rPr>
          <w:rStyle w:val="21"/>
          <w:rFonts w:hint="eastAsia" w:ascii="仿宋" w:hAnsi="仿宋" w:eastAsia="仿宋" w:cs="宋体"/>
          <w:b w:val="0"/>
          <w:kern w:val="0"/>
          <w:sz w:val="32"/>
          <w:szCs w:val="22"/>
          <w:highlight w:val="none"/>
          <w:lang w:eastAsia="zh-CN"/>
        </w:rPr>
        <w:t>签字或盖章</w:t>
      </w:r>
      <w:r>
        <w:rPr>
          <w:rStyle w:val="21"/>
          <w:rFonts w:hint="eastAsia" w:ascii="仿宋" w:hAnsi="仿宋" w:eastAsia="仿宋" w:cs="宋体"/>
          <w:b w:val="0"/>
          <w:kern w:val="0"/>
          <w:sz w:val="32"/>
          <w:szCs w:val="22"/>
          <w:highlight w:val="none"/>
        </w:rPr>
        <w:t>）</w:t>
      </w:r>
    </w:p>
    <w:p w14:paraId="334DA3C5">
      <w:pPr>
        <w:pStyle w:val="10"/>
        <w:jc w:val="center"/>
        <w:rPr>
          <w:rStyle w:val="21"/>
          <w:rFonts w:ascii="仿宋" w:hAnsi="仿宋" w:eastAsia="仿宋" w:cs="宋体"/>
          <w:b w:val="0"/>
          <w:kern w:val="0"/>
          <w:sz w:val="32"/>
          <w:szCs w:val="22"/>
          <w:highlight w:val="none"/>
        </w:rPr>
      </w:pPr>
    </w:p>
    <w:p w14:paraId="6E318FC0">
      <w:pPr>
        <w:pStyle w:val="10"/>
        <w:jc w:val="center"/>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 xml:space="preserve">年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 xml:space="preserve"> 月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日</w:t>
      </w:r>
    </w:p>
    <w:p w14:paraId="0360F265">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38D98132">
      <w:pPr>
        <w:pStyle w:val="10"/>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1"/>
          <w:rFonts w:ascii="仿宋" w:hAnsi="仿宋" w:eastAsia="仿宋" w:cs="宋体"/>
          <w:kern w:val="0"/>
          <w:sz w:val="44"/>
          <w:szCs w:val="44"/>
          <w:highlight w:val="none"/>
        </w:rPr>
      </w:pPr>
      <w:r>
        <w:rPr>
          <w:rStyle w:val="21"/>
          <w:rFonts w:hint="eastAsia" w:ascii="仿宋" w:hAnsi="仿宋" w:eastAsia="仿宋" w:cs="宋体"/>
          <w:kern w:val="0"/>
          <w:sz w:val="44"/>
          <w:szCs w:val="44"/>
          <w:highlight w:val="none"/>
        </w:rPr>
        <w:t xml:space="preserve">目 </w:t>
      </w:r>
      <w:r>
        <w:rPr>
          <w:rStyle w:val="21"/>
          <w:rFonts w:ascii="仿宋" w:hAnsi="仿宋" w:eastAsia="仿宋" w:cs="宋体"/>
          <w:kern w:val="0"/>
          <w:sz w:val="44"/>
          <w:szCs w:val="44"/>
          <w:highlight w:val="none"/>
        </w:rPr>
        <w:t xml:space="preserve"> </w:t>
      </w:r>
      <w:r>
        <w:rPr>
          <w:rStyle w:val="21"/>
          <w:rFonts w:hint="eastAsia" w:ascii="仿宋" w:hAnsi="仿宋" w:eastAsia="仿宋" w:cs="宋体"/>
          <w:kern w:val="0"/>
          <w:sz w:val="44"/>
          <w:szCs w:val="44"/>
          <w:highlight w:val="none"/>
        </w:rPr>
        <w:t xml:space="preserve"> 录</w:t>
      </w:r>
    </w:p>
    <w:p w14:paraId="48AC35EB">
      <w:pPr>
        <w:pStyle w:val="10"/>
        <w:keepNext w:val="0"/>
        <w:keepLines w:val="0"/>
        <w:pageBreakBefore w:val="0"/>
        <w:widowControl w:val="0"/>
        <w:kinsoku/>
        <w:wordWrap/>
        <w:overflowPunct/>
        <w:topLinePunct w:val="0"/>
        <w:autoSpaceDE/>
        <w:autoSpaceDN/>
        <w:bidi w:val="0"/>
        <w:adjustRightInd/>
        <w:snapToGrid/>
        <w:spacing w:line="480" w:lineRule="exact"/>
        <w:textAlignment w:val="auto"/>
        <w:rPr>
          <w:rStyle w:val="21"/>
          <w:rFonts w:hint="default" w:ascii="仿宋" w:hAnsi="仿宋" w:eastAsia="仿宋" w:cs="宋体"/>
          <w:b/>
          <w:bCs w:val="0"/>
          <w:kern w:val="0"/>
          <w:sz w:val="28"/>
          <w:szCs w:val="28"/>
          <w:highlight w:val="none"/>
          <w:lang w:val="en-US" w:eastAsia="zh-CN"/>
        </w:rPr>
      </w:pPr>
      <w:r>
        <w:rPr>
          <w:rStyle w:val="21"/>
          <w:rFonts w:hint="eastAsia" w:ascii="仿宋" w:hAnsi="仿宋" w:eastAsia="仿宋" w:cs="宋体"/>
          <w:b/>
          <w:bCs w:val="0"/>
          <w:kern w:val="0"/>
          <w:sz w:val="28"/>
          <w:szCs w:val="28"/>
          <w:highlight w:val="none"/>
          <w:lang w:val="en-US" w:eastAsia="zh-CN"/>
        </w:rPr>
        <w:t>一</w:t>
      </w:r>
      <w:r>
        <w:rPr>
          <w:rStyle w:val="21"/>
          <w:rFonts w:hint="eastAsia" w:ascii="仿宋" w:hAnsi="仿宋" w:eastAsia="仿宋" w:cs="宋体"/>
          <w:b/>
          <w:bCs w:val="0"/>
          <w:kern w:val="0"/>
          <w:sz w:val="28"/>
          <w:szCs w:val="28"/>
          <w:highlight w:val="none"/>
        </w:rPr>
        <w:t>、</w:t>
      </w:r>
      <w:r>
        <w:rPr>
          <w:rStyle w:val="21"/>
          <w:rFonts w:hint="eastAsia" w:ascii="仿宋" w:hAnsi="仿宋" w:eastAsia="仿宋" w:cs="宋体"/>
          <w:b/>
          <w:bCs w:val="0"/>
          <w:kern w:val="0"/>
          <w:sz w:val="28"/>
          <w:szCs w:val="28"/>
          <w:highlight w:val="none"/>
          <w:lang w:val="en-US" w:eastAsia="zh-CN"/>
        </w:rPr>
        <w:t>报价部分</w:t>
      </w:r>
    </w:p>
    <w:p w14:paraId="14046DDE">
      <w:pPr>
        <w:pStyle w:val="10"/>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宋体"/>
          <w:b w:val="0"/>
          <w:bCs w:val="0"/>
          <w:sz w:val="28"/>
          <w:szCs w:val="28"/>
          <w:highlight w:val="none"/>
        </w:rPr>
      </w:pPr>
      <w:r>
        <w:rPr>
          <w:rStyle w:val="21"/>
          <w:rFonts w:hint="eastAsia" w:ascii="仿宋" w:hAnsi="仿宋" w:eastAsia="仿宋" w:cs="宋体"/>
          <w:b w:val="0"/>
          <w:kern w:val="0"/>
          <w:sz w:val="28"/>
          <w:szCs w:val="28"/>
          <w:highlight w:val="none"/>
          <w:lang w:val="en-US" w:eastAsia="zh-CN"/>
        </w:rPr>
        <w:t>1、报价函</w:t>
      </w:r>
    </w:p>
    <w:p w14:paraId="3B8DF2AD">
      <w:pPr>
        <w:pStyle w:val="10"/>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2、报价一览表</w:t>
      </w:r>
    </w:p>
    <w:p w14:paraId="45397AE6">
      <w:pPr>
        <w:pStyle w:val="10"/>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3、</w:t>
      </w:r>
      <w:r>
        <w:rPr>
          <w:rStyle w:val="21"/>
          <w:rFonts w:hint="eastAsia" w:ascii="仿宋" w:hAnsi="仿宋" w:eastAsia="仿宋" w:cs="宋体"/>
          <w:b w:val="0"/>
          <w:kern w:val="0"/>
          <w:sz w:val="28"/>
          <w:szCs w:val="28"/>
          <w:highlight w:val="none"/>
          <w:lang w:val="en-US" w:eastAsia="zh-CN"/>
        </w:rPr>
        <w:t>供应商认为需要提交的其他资料</w:t>
      </w:r>
    </w:p>
    <w:p w14:paraId="151228AD">
      <w:pPr>
        <w:pStyle w:val="10"/>
        <w:keepNext w:val="0"/>
        <w:keepLines w:val="0"/>
        <w:pageBreakBefore w:val="0"/>
        <w:widowControl w:val="0"/>
        <w:kinsoku/>
        <w:wordWrap/>
        <w:overflowPunct/>
        <w:topLinePunct w:val="0"/>
        <w:autoSpaceDE/>
        <w:autoSpaceDN/>
        <w:bidi w:val="0"/>
        <w:adjustRightInd/>
        <w:snapToGrid/>
        <w:spacing w:line="480" w:lineRule="exact"/>
        <w:textAlignment w:val="auto"/>
        <w:rPr>
          <w:rStyle w:val="21"/>
          <w:rFonts w:hint="eastAsia" w:ascii="仿宋" w:hAnsi="仿宋" w:eastAsia="仿宋" w:cs="宋体"/>
          <w:b/>
          <w:bCs w:val="0"/>
          <w:kern w:val="0"/>
          <w:sz w:val="28"/>
          <w:szCs w:val="28"/>
          <w:highlight w:val="none"/>
          <w:lang w:val="en-US" w:eastAsia="zh-CN"/>
        </w:rPr>
      </w:pPr>
      <w:r>
        <w:rPr>
          <w:rStyle w:val="21"/>
          <w:rFonts w:hint="eastAsia" w:ascii="仿宋" w:hAnsi="仿宋" w:eastAsia="仿宋" w:cs="宋体"/>
          <w:b/>
          <w:bCs w:val="0"/>
          <w:kern w:val="0"/>
          <w:sz w:val="28"/>
          <w:szCs w:val="28"/>
          <w:highlight w:val="none"/>
          <w:lang w:val="en-US" w:eastAsia="zh-CN"/>
        </w:rPr>
        <w:t>二、资格、资质证明文件</w:t>
      </w:r>
    </w:p>
    <w:p w14:paraId="12C3035E">
      <w:pPr>
        <w:pStyle w:val="10"/>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1、供应商营业执照；</w:t>
      </w:r>
    </w:p>
    <w:p w14:paraId="0EE0B141">
      <w:pPr>
        <w:pStyle w:val="10"/>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2、法定代表人身份证明或授权委托书；</w:t>
      </w:r>
    </w:p>
    <w:p w14:paraId="45C97B73">
      <w:pPr>
        <w:pStyle w:val="10"/>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3、具备履行合同所必需的设备和专业技术能力的证明材料；</w:t>
      </w:r>
    </w:p>
    <w:p w14:paraId="55AF8B8C">
      <w:pPr>
        <w:pStyle w:val="10"/>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4、缴纳税收和社会保障资金等证明告知承诺书；</w:t>
      </w:r>
      <w:bookmarkStart w:id="34" w:name="_GoBack"/>
      <w:bookmarkEnd w:id="34"/>
    </w:p>
    <w:p w14:paraId="70590542">
      <w:pPr>
        <w:pStyle w:val="10"/>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需要提供的其它相关资格证明文件。</w:t>
      </w:r>
    </w:p>
    <w:p w14:paraId="6980E7AE">
      <w:pPr>
        <w:pStyle w:val="10"/>
        <w:keepNext w:val="0"/>
        <w:keepLines w:val="0"/>
        <w:pageBreakBefore w:val="0"/>
        <w:widowControl w:val="0"/>
        <w:kinsoku/>
        <w:wordWrap/>
        <w:overflowPunct/>
        <w:topLinePunct w:val="0"/>
        <w:autoSpaceDE/>
        <w:autoSpaceDN/>
        <w:bidi w:val="0"/>
        <w:adjustRightInd/>
        <w:snapToGrid/>
        <w:spacing w:line="480" w:lineRule="exact"/>
        <w:textAlignment w:val="auto"/>
        <w:rPr>
          <w:rStyle w:val="21"/>
          <w:rFonts w:hint="eastAsia" w:ascii="仿宋" w:hAnsi="仿宋" w:eastAsia="仿宋" w:cs="宋体"/>
          <w:b/>
          <w:bCs w:val="0"/>
          <w:kern w:val="0"/>
          <w:sz w:val="28"/>
          <w:szCs w:val="28"/>
          <w:highlight w:val="none"/>
          <w:lang w:val="en-US" w:eastAsia="zh-CN"/>
        </w:rPr>
      </w:pPr>
      <w:r>
        <w:rPr>
          <w:rStyle w:val="21"/>
          <w:rFonts w:hint="eastAsia" w:ascii="仿宋" w:hAnsi="仿宋" w:eastAsia="仿宋" w:cs="宋体"/>
          <w:b/>
          <w:bCs w:val="0"/>
          <w:kern w:val="0"/>
          <w:sz w:val="28"/>
          <w:szCs w:val="28"/>
          <w:highlight w:val="none"/>
          <w:lang w:val="en-US" w:eastAsia="zh-CN"/>
        </w:rPr>
        <w:t>三、技术文件</w:t>
      </w:r>
    </w:p>
    <w:p w14:paraId="7B648848">
      <w:pPr>
        <w:pStyle w:val="10"/>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1、与本项目相对应的技术资料；</w:t>
      </w:r>
    </w:p>
    <w:p w14:paraId="6B0989FD">
      <w:pPr>
        <w:pStyle w:val="10"/>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2、评分办法技术部分涉及的相关内容（如有）；</w:t>
      </w:r>
    </w:p>
    <w:p w14:paraId="0062C38E">
      <w:pPr>
        <w:pStyle w:val="10"/>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3、供应商认为需要提交的其他资料。</w:t>
      </w:r>
    </w:p>
    <w:p w14:paraId="72D1420B">
      <w:pPr>
        <w:pStyle w:val="10"/>
        <w:keepNext w:val="0"/>
        <w:keepLines w:val="0"/>
        <w:pageBreakBefore w:val="0"/>
        <w:widowControl w:val="0"/>
        <w:kinsoku/>
        <w:wordWrap/>
        <w:overflowPunct/>
        <w:topLinePunct w:val="0"/>
        <w:autoSpaceDE/>
        <w:autoSpaceDN/>
        <w:bidi w:val="0"/>
        <w:adjustRightInd/>
        <w:snapToGrid/>
        <w:spacing w:line="480" w:lineRule="exact"/>
        <w:textAlignment w:val="auto"/>
        <w:rPr>
          <w:rStyle w:val="21"/>
          <w:rFonts w:hint="default" w:ascii="仿宋" w:hAnsi="仿宋" w:eastAsia="仿宋" w:cs="宋体"/>
          <w:b/>
          <w:bCs w:val="0"/>
          <w:kern w:val="0"/>
          <w:sz w:val="28"/>
          <w:szCs w:val="28"/>
          <w:highlight w:val="none"/>
          <w:lang w:val="en-US" w:eastAsia="zh-CN"/>
        </w:rPr>
      </w:pPr>
      <w:r>
        <w:rPr>
          <w:rStyle w:val="21"/>
          <w:rFonts w:hint="eastAsia" w:ascii="仿宋" w:hAnsi="仿宋" w:eastAsia="仿宋" w:cs="宋体"/>
          <w:b/>
          <w:bCs w:val="0"/>
          <w:kern w:val="0"/>
          <w:sz w:val="28"/>
          <w:szCs w:val="28"/>
          <w:highlight w:val="none"/>
          <w:lang w:val="en-US" w:eastAsia="zh-CN"/>
        </w:rPr>
        <w:t>四、其他材料</w:t>
      </w:r>
    </w:p>
    <w:p w14:paraId="211B3E16">
      <w:pPr>
        <w:pStyle w:val="10"/>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1、评分办法商务部分涉及的相关内容（如有）；</w:t>
      </w:r>
    </w:p>
    <w:p w14:paraId="259E7D03">
      <w:pPr>
        <w:pStyle w:val="10"/>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default"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2、承诺书</w:t>
      </w:r>
    </w:p>
    <w:p w14:paraId="2432F2B4">
      <w:pPr>
        <w:pStyle w:val="10"/>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3、供应商认为需要加以说明的其它内容。</w:t>
      </w:r>
    </w:p>
    <w:p w14:paraId="7B576CD2">
      <w:pP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br w:type="page"/>
      </w:r>
    </w:p>
    <w:p w14:paraId="51551949">
      <w:pPr>
        <w:pStyle w:val="10"/>
        <w:keepNext w:val="0"/>
        <w:keepLines w:val="0"/>
        <w:pageBreakBefore w:val="0"/>
        <w:widowControl w:val="0"/>
        <w:kinsoku/>
        <w:wordWrap/>
        <w:overflowPunct/>
        <w:topLinePunct w:val="0"/>
        <w:autoSpaceDE/>
        <w:autoSpaceDN/>
        <w:bidi w:val="0"/>
        <w:adjustRightInd/>
        <w:snapToGrid/>
        <w:jc w:val="both"/>
        <w:textAlignment w:val="auto"/>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lang w:val="en-US" w:eastAsia="zh-CN"/>
        </w:rPr>
        <w:t>附件</w:t>
      </w:r>
      <w:r>
        <w:rPr>
          <w:rStyle w:val="21"/>
          <w:rFonts w:hint="eastAsia" w:ascii="仿宋" w:hAnsi="仿宋" w:eastAsia="仿宋" w:cs="宋体"/>
          <w:b/>
          <w:bCs w:val="0"/>
          <w:kern w:val="0"/>
          <w:sz w:val="28"/>
          <w:szCs w:val="21"/>
          <w:highlight w:val="none"/>
        </w:rPr>
        <w:t>一</w:t>
      </w:r>
      <w:r>
        <w:rPr>
          <w:rStyle w:val="21"/>
          <w:rFonts w:hint="eastAsia" w:ascii="仿宋" w:hAnsi="仿宋" w:eastAsia="仿宋" w:cs="宋体"/>
          <w:b/>
          <w:bCs w:val="0"/>
          <w:kern w:val="0"/>
          <w:sz w:val="28"/>
          <w:szCs w:val="21"/>
          <w:highlight w:val="none"/>
          <w:lang w:eastAsia="zh-CN"/>
        </w:rPr>
        <w:t>：</w:t>
      </w:r>
    </w:p>
    <w:p w14:paraId="07C97709">
      <w:pPr>
        <w:spacing w:line="400" w:lineRule="exact"/>
        <w:jc w:val="center"/>
        <w:rPr>
          <w:rFonts w:hint="eastAsia" w:ascii="仿宋" w:hAnsi="仿宋" w:eastAsia="仿宋" w:cs="Times New Roman"/>
          <w:b/>
          <w:color w:val="000000"/>
          <w:spacing w:val="57"/>
          <w:kern w:val="2"/>
          <w:sz w:val="32"/>
          <w:szCs w:val="21"/>
          <w:highlight w:val="none"/>
          <w:lang w:val="en-US" w:eastAsia="zh-CN" w:bidi="ar-SA"/>
        </w:rPr>
      </w:pPr>
      <w:r>
        <w:rPr>
          <w:rFonts w:hint="eastAsia" w:ascii="仿宋" w:hAnsi="仿宋" w:eastAsia="仿宋" w:cs="Times New Roman"/>
          <w:b/>
          <w:color w:val="000000"/>
          <w:spacing w:val="57"/>
          <w:kern w:val="2"/>
          <w:sz w:val="32"/>
          <w:szCs w:val="21"/>
          <w:highlight w:val="none"/>
          <w:lang w:val="en-US" w:eastAsia="zh-CN" w:bidi="ar-SA"/>
        </w:rPr>
        <w:t>报价函</w:t>
      </w:r>
    </w:p>
    <w:p w14:paraId="77FA71E9">
      <w:pPr>
        <w:widowControl/>
        <w:spacing w:line="400" w:lineRule="exact"/>
        <w:jc w:val="left"/>
        <w:rPr>
          <w:rFonts w:hint="eastAsia" w:ascii="仿宋" w:hAnsi="仿宋" w:eastAsia="仿宋" w:cs="Times New Roman"/>
          <w:b/>
          <w:color w:val="000000"/>
          <w:kern w:val="2"/>
          <w:sz w:val="32"/>
          <w:szCs w:val="21"/>
          <w:highlight w:val="none"/>
          <w:lang w:val="en-US" w:eastAsia="zh-CN" w:bidi="ar-SA"/>
        </w:rPr>
      </w:pPr>
    </w:p>
    <w:p w14:paraId="11CF29E6">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jc w:val="both"/>
        <w:textAlignment w:val="auto"/>
        <w:rPr>
          <w:rFonts w:hint="eastAsia" w:ascii="仿宋" w:hAnsi="仿宋" w:eastAsia="仿宋"/>
          <w:color w:val="000000"/>
          <w:sz w:val="28"/>
          <w:highlight w:val="none"/>
        </w:rPr>
      </w:pPr>
      <w:r>
        <w:rPr>
          <w:rFonts w:hint="eastAsia" w:ascii="仿宋" w:hAnsi="仿宋" w:eastAsia="仿宋"/>
          <w:color w:val="000000"/>
          <w:sz w:val="28"/>
          <w:highlight w:val="none"/>
        </w:rPr>
        <w:t xml:space="preserve"> </w:t>
      </w:r>
      <w:r>
        <w:rPr>
          <w:rFonts w:hint="eastAsia" w:ascii="仿宋" w:hAnsi="仿宋" w:eastAsia="仿宋"/>
          <w:color w:val="000000"/>
          <w:sz w:val="28"/>
          <w:highlight w:val="none"/>
          <w:lang w:eastAsia="zh-CN"/>
        </w:rPr>
        <w:t>微山县人民医院</w:t>
      </w:r>
      <w:r>
        <w:rPr>
          <w:rFonts w:hint="eastAsia" w:ascii="仿宋" w:hAnsi="仿宋" w:eastAsia="仿宋"/>
          <w:color w:val="000000"/>
          <w:sz w:val="28"/>
          <w:highlight w:val="none"/>
        </w:rPr>
        <w:t>：</w:t>
      </w:r>
    </w:p>
    <w:p w14:paraId="04E9EA43">
      <w:pPr>
        <w:keepNext w:val="0"/>
        <w:keepLines w:val="0"/>
        <w:pageBreakBefore w:val="0"/>
        <w:widowControl w:val="0"/>
        <w:kinsoku/>
        <w:wordWrap/>
        <w:overflowPunct/>
        <w:topLinePunct w:val="0"/>
        <w:autoSpaceDE/>
        <w:autoSpaceDN/>
        <w:bidi w:val="0"/>
        <w:adjustRightInd/>
        <w:snapToGrid/>
        <w:spacing w:line="700" w:lineRule="exact"/>
        <w:ind w:firstLine="560" w:firstLineChars="200"/>
        <w:jc w:val="both"/>
        <w:textAlignment w:val="auto"/>
        <w:rPr>
          <w:rFonts w:hint="eastAsia" w:ascii="仿宋" w:hAnsi="仿宋" w:eastAsia="仿宋" w:cs="宋体"/>
          <w:color w:val="000000"/>
          <w:kern w:val="0"/>
          <w:sz w:val="28"/>
          <w:szCs w:val="28"/>
          <w:highlight w:val="none"/>
        </w:rPr>
      </w:pPr>
      <w:r>
        <w:rPr>
          <w:rFonts w:ascii="仿宋" w:hAnsi="仿宋" w:eastAsia="仿宋"/>
          <w:color w:val="000000"/>
          <w:sz w:val="28"/>
          <w:highlight w:val="none"/>
        </w:rPr>
        <w:t>经</w:t>
      </w:r>
      <w:r>
        <w:rPr>
          <w:rFonts w:hint="eastAsia" w:ascii="仿宋" w:hAnsi="仿宋" w:eastAsia="仿宋"/>
          <w:color w:val="000000"/>
          <w:sz w:val="28"/>
          <w:highlight w:val="none"/>
        </w:rPr>
        <w:t>研究，</w:t>
      </w:r>
      <w:r>
        <w:rPr>
          <w:rFonts w:ascii="仿宋" w:hAnsi="仿宋" w:eastAsia="仿宋"/>
          <w:color w:val="000000"/>
          <w:sz w:val="28"/>
          <w:highlight w:val="none"/>
        </w:rPr>
        <w:t>我们决定参</w:t>
      </w:r>
      <w:r>
        <w:rPr>
          <w:rFonts w:hint="eastAsia" w:ascii="仿宋" w:hAnsi="仿宋" w:eastAsia="仿宋"/>
          <w:color w:val="000000"/>
          <w:sz w:val="28"/>
          <w:highlight w:val="none"/>
        </w:rPr>
        <w:t>加</w:t>
      </w:r>
      <w:r>
        <w:rPr>
          <w:rFonts w:ascii="仿宋" w:hAnsi="仿宋" w:eastAsia="仿宋"/>
          <w:color w:val="000000"/>
          <w:sz w:val="28"/>
          <w:highlight w:val="none"/>
        </w:rPr>
        <w:t>项</w:t>
      </w:r>
      <w:r>
        <w:rPr>
          <w:rFonts w:hint="eastAsia" w:ascii="仿宋" w:hAnsi="仿宋" w:eastAsia="仿宋"/>
          <w:color w:val="000000"/>
          <w:sz w:val="28"/>
          <w:highlight w:val="none"/>
        </w:rPr>
        <w:t>目</w:t>
      </w:r>
      <w:r>
        <w:rPr>
          <w:rFonts w:ascii="仿宋" w:hAnsi="仿宋" w:eastAsia="仿宋"/>
          <w:color w:val="000000"/>
          <w:sz w:val="28"/>
          <w:highlight w:val="none"/>
        </w:rPr>
        <w:t>编号</w:t>
      </w:r>
      <w:r>
        <w:rPr>
          <w:rFonts w:ascii="仿宋" w:hAnsi="仿宋" w:eastAsia="仿宋" w:cs="宋体"/>
          <w:color w:val="000000"/>
          <w:kern w:val="0"/>
          <w:sz w:val="28"/>
          <w:szCs w:val="28"/>
          <w:highlight w:val="none"/>
        </w:rPr>
        <w:t>为</w:t>
      </w:r>
      <w:r>
        <w:rPr>
          <w:rFonts w:hint="eastAsia" w:ascii="仿宋" w:hAnsi="仿宋" w:eastAsia="仿宋" w:cs="宋体"/>
          <w:color w:val="000000"/>
          <w:kern w:val="0"/>
          <w:sz w:val="28"/>
          <w:szCs w:val="28"/>
          <w:highlight w:val="none"/>
          <w:u w:val="single"/>
          <w:lang w:val="en-US" w:eastAsia="zh-CN"/>
        </w:rPr>
        <w:t xml:space="preserve"> （项目编号） </w:t>
      </w:r>
      <w:r>
        <w:rPr>
          <w:rFonts w:hint="eastAsia" w:ascii="仿宋" w:hAnsi="仿宋" w:eastAsia="仿宋" w:cs="宋体"/>
          <w:color w:val="000000"/>
          <w:kern w:val="0"/>
          <w:sz w:val="28"/>
          <w:szCs w:val="28"/>
          <w:highlight w:val="none"/>
        </w:rPr>
        <w:t>的</w:t>
      </w:r>
      <w:r>
        <w:rPr>
          <w:rFonts w:hint="eastAsia" w:ascii="仿宋" w:hAnsi="仿宋" w:eastAsia="仿宋" w:cs="宋体"/>
          <w:color w:val="000000"/>
          <w:kern w:val="0"/>
          <w:sz w:val="28"/>
          <w:szCs w:val="28"/>
          <w:highlight w:val="none"/>
          <w:u w:val="single"/>
          <w:lang w:eastAsia="zh-CN"/>
        </w:rPr>
        <w:t>（</w:t>
      </w:r>
      <w:r>
        <w:rPr>
          <w:rFonts w:hint="eastAsia" w:ascii="仿宋" w:hAnsi="仿宋" w:eastAsia="仿宋" w:cs="宋体"/>
          <w:color w:val="000000"/>
          <w:kern w:val="0"/>
          <w:sz w:val="28"/>
          <w:szCs w:val="28"/>
          <w:highlight w:val="none"/>
          <w:u w:val="single"/>
          <w:lang w:val="en-US" w:eastAsia="zh-CN"/>
        </w:rPr>
        <w:t>项目名称</w:t>
      </w:r>
      <w:r>
        <w:rPr>
          <w:rFonts w:hint="eastAsia" w:ascii="仿宋" w:hAnsi="仿宋" w:eastAsia="仿宋" w:cs="宋体"/>
          <w:color w:val="000000"/>
          <w:kern w:val="0"/>
          <w:sz w:val="28"/>
          <w:szCs w:val="28"/>
          <w:highlight w:val="none"/>
          <w:u w:val="single"/>
          <w:lang w:eastAsia="zh-CN"/>
        </w:rPr>
        <w:t>）</w:t>
      </w:r>
      <w:r>
        <w:rPr>
          <w:rFonts w:hint="eastAsia" w:ascii="仿宋" w:hAnsi="仿宋" w:eastAsia="仿宋"/>
          <w:color w:val="000000"/>
          <w:sz w:val="28"/>
          <w:highlight w:val="none"/>
          <w:lang w:eastAsia="zh-CN"/>
        </w:rPr>
        <w:t>，</w:t>
      </w:r>
      <w:r>
        <w:rPr>
          <w:rFonts w:hint="eastAsia" w:ascii="仿宋" w:hAnsi="仿宋" w:eastAsia="仿宋" w:cs="宋体"/>
          <w:color w:val="000000"/>
          <w:kern w:val="0"/>
          <w:sz w:val="28"/>
          <w:szCs w:val="28"/>
          <w:highlight w:val="none"/>
        </w:rPr>
        <w:t>并提交</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ascii="仿宋" w:hAnsi="仿宋" w:eastAsia="仿宋" w:cs="宋体"/>
          <w:color w:val="000000"/>
          <w:kern w:val="0"/>
          <w:sz w:val="28"/>
          <w:szCs w:val="28"/>
          <w:highlight w:val="none"/>
        </w:rPr>
        <w:t>为</w:t>
      </w:r>
      <w:r>
        <w:rPr>
          <w:rFonts w:hint="eastAsia" w:ascii="仿宋" w:hAnsi="仿宋" w:eastAsia="仿宋" w:cs="宋体"/>
          <w:color w:val="000000"/>
          <w:kern w:val="0"/>
          <w:sz w:val="28"/>
          <w:szCs w:val="28"/>
          <w:highlight w:val="none"/>
        </w:rPr>
        <w:t>此，我方</w:t>
      </w:r>
      <w:r>
        <w:rPr>
          <w:rFonts w:ascii="仿宋" w:hAnsi="仿宋" w:eastAsia="仿宋" w:cs="宋体"/>
          <w:color w:val="000000"/>
          <w:kern w:val="0"/>
          <w:sz w:val="28"/>
          <w:szCs w:val="28"/>
          <w:highlight w:val="none"/>
        </w:rPr>
        <w:t>郑重声</w:t>
      </w:r>
      <w:r>
        <w:rPr>
          <w:rFonts w:hint="eastAsia" w:ascii="仿宋" w:hAnsi="仿宋" w:eastAsia="仿宋" w:cs="宋体"/>
          <w:color w:val="000000"/>
          <w:kern w:val="0"/>
          <w:sz w:val="28"/>
          <w:szCs w:val="28"/>
          <w:highlight w:val="none"/>
        </w:rPr>
        <w:t>明以下</w:t>
      </w:r>
      <w:r>
        <w:rPr>
          <w:rFonts w:ascii="仿宋" w:hAnsi="仿宋" w:eastAsia="仿宋" w:cs="宋体"/>
          <w:color w:val="000000"/>
          <w:kern w:val="0"/>
          <w:sz w:val="28"/>
          <w:szCs w:val="28"/>
          <w:highlight w:val="none"/>
        </w:rPr>
        <w:t>诸点</w:t>
      </w:r>
      <w:r>
        <w:rPr>
          <w:rFonts w:hint="eastAsia" w:ascii="仿宋" w:hAnsi="仿宋" w:eastAsia="仿宋" w:cs="宋体"/>
          <w:color w:val="000000"/>
          <w:kern w:val="0"/>
          <w:sz w:val="28"/>
          <w:szCs w:val="28"/>
          <w:highlight w:val="none"/>
        </w:rPr>
        <w:t>，并</w:t>
      </w:r>
      <w:r>
        <w:rPr>
          <w:rFonts w:ascii="仿宋" w:hAnsi="仿宋" w:eastAsia="仿宋" w:cs="宋体"/>
          <w:color w:val="000000"/>
          <w:kern w:val="0"/>
          <w:sz w:val="28"/>
          <w:szCs w:val="28"/>
          <w:highlight w:val="none"/>
        </w:rPr>
        <w:t>负</w:t>
      </w:r>
      <w:r>
        <w:rPr>
          <w:rFonts w:hint="eastAsia" w:ascii="仿宋" w:hAnsi="仿宋" w:eastAsia="仿宋" w:cs="宋体"/>
          <w:color w:val="000000"/>
          <w:kern w:val="0"/>
          <w:sz w:val="28"/>
          <w:szCs w:val="28"/>
          <w:highlight w:val="none"/>
        </w:rPr>
        <w:t>法律</w:t>
      </w:r>
      <w:r>
        <w:rPr>
          <w:rFonts w:ascii="仿宋" w:hAnsi="仿宋" w:eastAsia="仿宋" w:cs="宋体"/>
          <w:color w:val="000000"/>
          <w:kern w:val="0"/>
          <w:sz w:val="28"/>
          <w:szCs w:val="28"/>
          <w:highlight w:val="none"/>
        </w:rPr>
        <w:t>责</w:t>
      </w:r>
      <w:r>
        <w:rPr>
          <w:rFonts w:hint="eastAsia" w:ascii="仿宋" w:hAnsi="仿宋" w:eastAsia="仿宋" w:cs="宋体"/>
          <w:color w:val="000000"/>
          <w:kern w:val="0"/>
          <w:sz w:val="28"/>
          <w:szCs w:val="28"/>
          <w:highlight w:val="none"/>
        </w:rPr>
        <w:t>任。</w:t>
      </w:r>
    </w:p>
    <w:p w14:paraId="59F7D679">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1、</w:t>
      </w:r>
      <w:r>
        <w:rPr>
          <w:rFonts w:hint="eastAsia" w:ascii="仿宋" w:hAnsi="仿宋" w:eastAsia="仿宋"/>
          <w:color w:val="000000"/>
          <w:sz w:val="28"/>
          <w:highlight w:val="none"/>
        </w:rPr>
        <w:t>如果</w:t>
      </w:r>
      <w:r>
        <w:rPr>
          <w:rFonts w:ascii="仿宋" w:hAnsi="仿宋" w:eastAsia="仿宋"/>
          <w:color w:val="000000"/>
          <w:sz w:val="28"/>
          <w:highlight w:val="none"/>
        </w:rPr>
        <w:t>我们</w:t>
      </w:r>
      <w:r>
        <w:rPr>
          <w:rFonts w:hint="eastAsia" w:ascii="仿宋" w:hAnsi="仿宋" w:eastAsia="仿宋"/>
          <w:color w:val="000000"/>
          <w:sz w:val="28"/>
          <w:highlight w:val="none"/>
        </w:rPr>
        <w:t>的</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hint="eastAsia" w:ascii="仿宋" w:hAnsi="仿宋" w:eastAsia="仿宋"/>
          <w:color w:val="000000"/>
          <w:sz w:val="28"/>
          <w:highlight w:val="none"/>
        </w:rPr>
        <w:t>被接受，</w:t>
      </w:r>
      <w:r>
        <w:rPr>
          <w:rFonts w:ascii="仿宋" w:hAnsi="仿宋" w:eastAsia="仿宋"/>
          <w:color w:val="000000"/>
          <w:sz w:val="28"/>
          <w:highlight w:val="none"/>
        </w:rPr>
        <w:t>我们将</w:t>
      </w:r>
      <w:r>
        <w:rPr>
          <w:rFonts w:hint="eastAsia" w:ascii="仿宋" w:hAnsi="仿宋" w:eastAsia="仿宋"/>
          <w:color w:val="000000"/>
          <w:sz w:val="28"/>
          <w:highlight w:val="none"/>
        </w:rPr>
        <w:t>履行</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hint="eastAsia" w:ascii="仿宋" w:hAnsi="仿宋" w:eastAsia="仿宋"/>
          <w:color w:val="000000"/>
          <w:sz w:val="28"/>
          <w:highlight w:val="none"/>
        </w:rPr>
        <w:t>中</w:t>
      </w:r>
      <w:r>
        <w:rPr>
          <w:rFonts w:ascii="仿宋" w:hAnsi="仿宋" w:eastAsia="仿宋"/>
          <w:color w:val="000000"/>
          <w:sz w:val="28"/>
          <w:highlight w:val="none"/>
        </w:rPr>
        <w:t>规</w:t>
      </w:r>
      <w:r>
        <w:rPr>
          <w:rFonts w:hint="eastAsia" w:ascii="仿宋" w:hAnsi="仿宋" w:eastAsia="仿宋"/>
          <w:color w:val="000000"/>
          <w:sz w:val="28"/>
          <w:highlight w:val="none"/>
        </w:rPr>
        <w:t>定的每一</w:t>
      </w:r>
      <w:r>
        <w:rPr>
          <w:rFonts w:ascii="仿宋" w:hAnsi="仿宋" w:eastAsia="仿宋"/>
          <w:color w:val="000000"/>
          <w:sz w:val="28"/>
          <w:highlight w:val="none"/>
        </w:rPr>
        <w:t>项</w:t>
      </w:r>
      <w:r>
        <w:rPr>
          <w:rFonts w:hint="eastAsia" w:ascii="仿宋" w:hAnsi="仿宋" w:eastAsia="仿宋"/>
          <w:color w:val="000000"/>
          <w:sz w:val="28"/>
          <w:highlight w:val="none"/>
        </w:rPr>
        <w:t>要求，并</w:t>
      </w:r>
      <w:r>
        <w:rPr>
          <w:rFonts w:ascii="仿宋" w:hAnsi="仿宋" w:eastAsia="仿宋"/>
          <w:color w:val="000000"/>
          <w:sz w:val="28"/>
          <w:highlight w:val="none"/>
        </w:rPr>
        <w:t>按我们</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hint="eastAsia" w:ascii="仿宋" w:hAnsi="仿宋" w:eastAsia="仿宋"/>
          <w:color w:val="000000"/>
          <w:sz w:val="28"/>
          <w:highlight w:val="none"/>
        </w:rPr>
        <w:t>中的承</w:t>
      </w:r>
      <w:r>
        <w:rPr>
          <w:rFonts w:ascii="仿宋" w:hAnsi="仿宋" w:eastAsia="仿宋"/>
          <w:color w:val="000000"/>
          <w:sz w:val="28"/>
          <w:highlight w:val="none"/>
        </w:rPr>
        <w:t>诺</w:t>
      </w:r>
      <w:r>
        <w:rPr>
          <w:rFonts w:hint="eastAsia" w:ascii="仿宋" w:hAnsi="仿宋" w:eastAsia="仿宋"/>
          <w:color w:val="000000"/>
          <w:sz w:val="28"/>
          <w:highlight w:val="none"/>
        </w:rPr>
        <w:t>按期、保</w:t>
      </w:r>
      <w:r>
        <w:rPr>
          <w:rFonts w:ascii="仿宋" w:hAnsi="仿宋" w:eastAsia="仿宋"/>
          <w:color w:val="000000"/>
          <w:sz w:val="28"/>
          <w:highlight w:val="none"/>
        </w:rPr>
        <w:t>质</w:t>
      </w:r>
      <w:r>
        <w:rPr>
          <w:rFonts w:hint="eastAsia" w:ascii="仿宋" w:hAnsi="仿宋" w:eastAsia="仿宋"/>
          <w:color w:val="000000"/>
          <w:sz w:val="28"/>
          <w:highlight w:val="none"/>
        </w:rPr>
        <w:t>完成</w:t>
      </w:r>
      <w:r>
        <w:rPr>
          <w:rFonts w:ascii="仿宋" w:hAnsi="仿宋" w:eastAsia="仿宋"/>
          <w:color w:val="000000"/>
          <w:sz w:val="28"/>
          <w:highlight w:val="none"/>
        </w:rPr>
        <w:t>项</w:t>
      </w:r>
      <w:r>
        <w:rPr>
          <w:rFonts w:hint="eastAsia" w:ascii="仿宋" w:hAnsi="仿宋" w:eastAsia="仿宋"/>
          <w:color w:val="000000"/>
          <w:sz w:val="28"/>
          <w:highlight w:val="none"/>
        </w:rPr>
        <w:t>目的</w:t>
      </w:r>
      <w:r>
        <w:rPr>
          <w:rFonts w:ascii="仿宋" w:hAnsi="仿宋" w:eastAsia="仿宋"/>
          <w:color w:val="000000"/>
          <w:sz w:val="28"/>
          <w:highlight w:val="none"/>
        </w:rPr>
        <w:t>实</w:t>
      </w:r>
      <w:r>
        <w:rPr>
          <w:rFonts w:hint="eastAsia" w:ascii="仿宋" w:hAnsi="仿宋" w:eastAsia="仿宋"/>
          <w:color w:val="000000"/>
          <w:sz w:val="28"/>
          <w:highlight w:val="none"/>
        </w:rPr>
        <w:t>施。</w:t>
      </w:r>
    </w:p>
    <w:p w14:paraId="65C7D146">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2、我们</w:t>
      </w:r>
      <w:r>
        <w:rPr>
          <w:rFonts w:hint="eastAsia" w:ascii="仿宋" w:hAnsi="仿宋" w:eastAsia="仿宋"/>
          <w:color w:val="000000"/>
          <w:sz w:val="28"/>
          <w:highlight w:val="none"/>
        </w:rPr>
        <w:t>理解，最低报价不是中标的唯一</w:t>
      </w:r>
      <w:r>
        <w:rPr>
          <w:rFonts w:ascii="仿宋" w:hAnsi="仿宋" w:eastAsia="仿宋"/>
          <w:color w:val="000000"/>
          <w:sz w:val="28"/>
          <w:highlight w:val="none"/>
        </w:rPr>
        <w:t>条</w:t>
      </w:r>
      <w:r>
        <w:rPr>
          <w:rFonts w:hint="eastAsia" w:ascii="仿宋" w:hAnsi="仿宋" w:eastAsia="仿宋"/>
          <w:color w:val="000000"/>
          <w:sz w:val="28"/>
          <w:highlight w:val="none"/>
        </w:rPr>
        <w:t>件。</w:t>
      </w:r>
    </w:p>
    <w:p w14:paraId="602EA01D">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3、我们</w:t>
      </w:r>
      <w:r>
        <w:rPr>
          <w:rFonts w:hint="eastAsia" w:ascii="仿宋" w:hAnsi="仿宋" w:eastAsia="仿宋"/>
          <w:color w:val="000000"/>
          <w:sz w:val="28"/>
          <w:highlight w:val="none"/>
        </w:rPr>
        <w:t>愿按</w:t>
      </w:r>
      <w:r>
        <w:rPr>
          <w:rFonts w:hint="eastAsia" w:ascii="仿宋" w:hAnsi="仿宋" w:eastAsia="仿宋"/>
          <w:color w:val="000000"/>
          <w:sz w:val="28"/>
          <w:highlight w:val="none"/>
          <w:lang w:eastAsia="zh-CN"/>
        </w:rPr>
        <w:t>《中华人民共和国民法典》</w:t>
      </w:r>
      <w:r>
        <w:rPr>
          <w:rFonts w:hint="eastAsia" w:ascii="仿宋" w:hAnsi="仿宋" w:eastAsia="仿宋"/>
          <w:color w:val="000000"/>
          <w:sz w:val="28"/>
          <w:highlight w:val="none"/>
        </w:rPr>
        <w:t>履行自己的全部</w:t>
      </w:r>
      <w:r>
        <w:rPr>
          <w:rFonts w:ascii="仿宋" w:hAnsi="仿宋" w:eastAsia="仿宋"/>
          <w:color w:val="000000"/>
          <w:sz w:val="28"/>
          <w:highlight w:val="none"/>
        </w:rPr>
        <w:t>责</w:t>
      </w:r>
      <w:r>
        <w:rPr>
          <w:rFonts w:hint="eastAsia" w:ascii="仿宋" w:hAnsi="仿宋" w:eastAsia="仿宋"/>
          <w:color w:val="000000"/>
          <w:sz w:val="28"/>
          <w:highlight w:val="none"/>
        </w:rPr>
        <w:t>任。</w:t>
      </w:r>
    </w:p>
    <w:p w14:paraId="7F18732B">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4、我们</w:t>
      </w:r>
      <w:r>
        <w:rPr>
          <w:rFonts w:hint="eastAsia" w:ascii="仿宋" w:hAnsi="仿宋" w:eastAsia="仿宋"/>
          <w:color w:val="000000"/>
          <w:sz w:val="28"/>
          <w:highlight w:val="none"/>
        </w:rPr>
        <w:t>的</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hint="eastAsia" w:ascii="仿宋" w:hAnsi="仿宋" w:eastAsia="仿宋"/>
          <w:color w:val="000000"/>
          <w:sz w:val="28"/>
          <w:highlight w:val="none"/>
        </w:rPr>
        <w:t>自提交之日起有效期</w:t>
      </w:r>
      <w:r>
        <w:rPr>
          <w:rFonts w:ascii="仿宋" w:hAnsi="仿宋" w:eastAsia="仿宋"/>
          <w:color w:val="000000"/>
          <w:sz w:val="28"/>
          <w:highlight w:val="none"/>
        </w:rPr>
        <w:t>为90</w:t>
      </w:r>
      <w:r>
        <w:rPr>
          <w:rFonts w:hint="eastAsia" w:ascii="仿宋" w:hAnsi="仿宋" w:eastAsia="仿宋"/>
          <w:color w:val="000000"/>
          <w:sz w:val="28"/>
          <w:highlight w:val="none"/>
        </w:rPr>
        <w:t>个日历天。</w:t>
      </w:r>
    </w:p>
    <w:p w14:paraId="09C8120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5、我们</w:t>
      </w:r>
      <w:r>
        <w:rPr>
          <w:rFonts w:hint="eastAsia" w:ascii="仿宋" w:hAnsi="仿宋" w:eastAsia="仿宋"/>
          <w:color w:val="000000"/>
          <w:sz w:val="28"/>
          <w:highlight w:val="none"/>
        </w:rPr>
        <w:t>若未成</w:t>
      </w:r>
      <w:r>
        <w:rPr>
          <w:rFonts w:ascii="仿宋" w:hAnsi="仿宋" w:eastAsia="仿宋"/>
          <w:color w:val="000000"/>
          <w:sz w:val="28"/>
          <w:highlight w:val="none"/>
        </w:rPr>
        <w:t>为</w:t>
      </w:r>
      <w:r>
        <w:rPr>
          <w:rFonts w:hint="eastAsia" w:ascii="仿宋" w:hAnsi="仿宋" w:eastAsia="仿宋"/>
          <w:color w:val="000000"/>
          <w:sz w:val="28"/>
          <w:highlight w:val="none"/>
          <w:lang w:val="en-US" w:eastAsia="zh-CN"/>
        </w:rPr>
        <w:t>成交</w:t>
      </w:r>
      <w:r>
        <w:rPr>
          <w:rFonts w:hint="eastAsia" w:ascii="仿宋" w:hAnsi="仿宋" w:eastAsia="仿宋"/>
          <w:color w:val="000000"/>
          <w:sz w:val="28"/>
          <w:highlight w:val="none"/>
        </w:rPr>
        <w:t>供应商，你公司有</w:t>
      </w:r>
      <w:r>
        <w:rPr>
          <w:rFonts w:ascii="仿宋" w:hAnsi="仿宋" w:eastAsia="仿宋"/>
          <w:color w:val="000000"/>
          <w:sz w:val="28"/>
          <w:highlight w:val="none"/>
        </w:rPr>
        <w:t>权</w:t>
      </w:r>
      <w:r>
        <w:rPr>
          <w:rFonts w:hint="eastAsia" w:ascii="仿宋" w:hAnsi="仿宋" w:eastAsia="仿宋"/>
          <w:color w:val="000000"/>
          <w:sz w:val="28"/>
          <w:highlight w:val="none"/>
        </w:rPr>
        <w:t>不做任何</w:t>
      </w:r>
      <w:r>
        <w:rPr>
          <w:rFonts w:ascii="仿宋" w:hAnsi="仿宋" w:eastAsia="仿宋"/>
          <w:color w:val="000000"/>
          <w:sz w:val="28"/>
          <w:highlight w:val="none"/>
        </w:rPr>
        <w:t>解释</w:t>
      </w:r>
      <w:r>
        <w:rPr>
          <w:rFonts w:hint="eastAsia" w:ascii="仿宋" w:hAnsi="仿宋" w:eastAsia="仿宋"/>
          <w:color w:val="000000"/>
          <w:sz w:val="28"/>
          <w:highlight w:val="none"/>
        </w:rPr>
        <w:t>。</w:t>
      </w:r>
    </w:p>
    <w:p w14:paraId="652E3ACD">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6</w:t>
      </w:r>
      <w:r>
        <w:rPr>
          <w:rFonts w:hint="eastAsia" w:ascii="仿宋" w:hAnsi="仿宋" w:eastAsia="仿宋"/>
          <w:color w:val="000000"/>
          <w:sz w:val="28"/>
          <w:highlight w:val="none"/>
        </w:rPr>
        <w:t>、与本</w:t>
      </w:r>
      <w:r>
        <w:rPr>
          <w:rFonts w:hint="eastAsia" w:ascii="仿宋" w:hAnsi="仿宋" w:eastAsia="仿宋"/>
          <w:color w:val="000000"/>
          <w:sz w:val="28"/>
          <w:highlight w:val="none"/>
          <w:lang w:val="en-US" w:eastAsia="zh-CN"/>
        </w:rPr>
        <w:t>报价</w:t>
      </w:r>
      <w:r>
        <w:rPr>
          <w:rFonts w:ascii="仿宋" w:hAnsi="仿宋" w:eastAsia="仿宋"/>
          <w:color w:val="000000"/>
          <w:sz w:val="28"/>
          <w:highlight w:val="none"/>
        </w:rPr>
        <w:t>有关的</w:t>
      </w:r>
      <w:r>
        <w:rPr>
          <w:rFonts w:hint="eastAsia" w:ascii="仿宋" w:hAnsi="仿宋" w:eastAsia="仿宋"/>
          <w:color w:val="000000"/>
          <w:sz w:val="28"/>
          <w:highlight w:val="none"/>
        </w:rPr>
        <w:t>一切正式往</w:t>
      </w:r>
      <w:r>
        <w:rPr>
          <w:rFonts w:ascii="仿宋" w:hAnsi="仿宋" w:eastAsia="仿宋"/>
          <w:color w:val="000000"/>
          <w:sz w:val="28"/>
          <w:highlight w:val="none"/>
        </w:rPr>
        <w:t>来通讯请</w:t>
      </w:r>
      <w:r>
        <w:rPr>
          <w:rFonts w:hint="eastAsia" w:ascii="仿宋" w:hAnsi="仿宋" w:eastAsia="仿宋"/>
          <w:color w:val="000000"/>
          <w:sz w:val="28"/>
          <w:highlight w:val="none"/>
        </w:rPr>
        <w:t>寄：</w:t>
      </w:r>
    </w:p>
    <w:p w14:paraId="49F43392">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560" w:firstLineChars="200"/>
        <w:rPr>
          <w:rFonts w:ascii="仿宋" w:hAnsi="仿宋" w:eastAsia="仿宋"/>
          <w:color w:val="000000"/>
          <w:sz w:val="28"/>
          <w:highlight w:val="none"/>
        </w:rPr>
      </w:pPr>
    </w:p>
    <w:p w14:paraId="47629F8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Times New Roman"/>
          <w:color w:val="000000"/>
          <w:sz w:val="28"/>
          <w:highlight w:val="none"/>
        </w:rPr>
      </w:pPr>
      <w:r>
        <w:rPr>
          <w:rFonts w:hint="eastAsia" w:ascii="仿宋" w:hAnsi="仿宋" w:eastAsia="仿宋" w:cs="Times New Roman"/>
          <w:color w:val="000000"/>
          <w:sz w:val="28"/>
          <w:highlight w:val="none"/>
        </w:rPr>
        <w:t>地址：</w:t>
      </w:r>
    </w:p>
    <w:p w14:paraId="25B73CC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Times New Roman"/>
          <w:color w:val="000000"/>
          <w:sz w:val="28"/>
          <w:highlight w:val="none"/>
        </w:rPr>
      </w:pPr>
      <w:r>
        <w:rPr>
          <w:rFonts w:hint="eastAsia" w:ascii="仿宋" w:hAnsi="仿宋" w:eastAsia="仿宋" w:cs="Times New Roman"/>
          <w:color w:val="000000"/>
          <w:sz w:val="28"/>
          <w:highlight w:val="none"/>
        </w:rPr>
        <w:t>邮政编码：</w:t>
      </w:r>
    </w:p>
    <w:p w14:paraId="2207174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Times New Roman"/>
          <w:color w:val="000000"/>
          <w:sz w:val="28"/>
          <w:highlight w:val="none"/>
        </w:rPr>
      </w:pPr>
      <w:r>
        <w:rPr>
          <w:rFonts w:hint="eastAsia" w:ascii="仿宋" w:hAnsi="仿宋" w:eastAsia="仿宋" w:cs="Times New Roman"/>
          <w:color w:val="000000"/>
          <w:sz w:val="28"/>
          <w:highlight w:val="none"/>
        </w:rPr>
        <w:t>电话：</w:t>
      </w:r>
    </w:p>
    <w:p w14:paraId="447814B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Times New Roman"/>
          <w:color w:val="000000"/>
          <w:sz w:val="28"/>
          <w:highlight w:val="none"/>
        </w:rPr>
      </w:pPr>
      <w:r>
        <w:rPr>
          <w:rFonts w:hint="eastAsia" w:ascii="仿宋" w:hAnsi="仿宋" w:eastAsia="仿宋" w:cs="Times New Roman"/>
          <w:color w:val="000000"/>
          <w:sz w:val="28"/>
          <w:highlight w:val="none"/>
        </w:rPr>
        <w:t>传真：</w:t>
      </w:r>
    </w:p>
    <w:p w14:paraId="5ED96517">
      <w:pPr>
        <w:pStyle w:val="10"/>
        <w:ind w:firstLine="560" w:firstLineChars="2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0F3B1E9D">
      <w:pPr>
        <w:pStyle w:val="10"/>
        <w:ind w:firstLine="560" w:firstLineChars="200"/>
        <w:jc w:val="lef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7A1DB674">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560" w:firstLineChars="200"/>
        <w:rPr>
          <w:rFonts w:hint="eastAsia" w:ascii="仿宋" w:hAnsi="仿宋" w:eastAsia="仿宋"/>
          <w:color w:val="000000"/>
          <w:sz w:val="28"/>
          <w:highlight w:val="none"/>
        </w:rPr>
      </w:pPr>
    </w:p>
    <w:p w14:paraId="1FCFE4CD">
      <w:pPr>
        <w:jc w:val="right"/>
        <w:rPr>
          <w:rStyle w:val="21"/>
          <w:rFonts w:hint="eastAsia" w:ascii="仿宋" w:hAnsi="仿宋" w:eastAsia="仿宋" w:cs="宋体"/>
          <w:b/>
          <w:bCs w:val="0"/>
          <w:kern w:val="0"/>
          <w:sz w:val="28"/>
          <w:szCs w:val="21"/>
          <w:highlight w:val="none"/>
        </w:rPr>
      </w:pPr>
      <w:r>
        <w:rPr>
          <w:rFonts w:ascii="仿宋" w:hAnsi="仿宋" w:eastAsia="仿宋"/>
          <w:bCs/>
          <w:color w:val="000000"/>
          <w:sz w:val="28"/>
          <w:szCs w:val="28"/>
          <w:highlight w:val="none"/>
        </w:rPr>
        <w:t xml:space="preserve"> </w:t>
      </w:r>
      <w:r>
        <w:rPr>
          <w:rFonts w:hint="eastAsia" w:ascii="仿宋" w:hAnsi="仿宋" w:eastAsia="仿宋"/>
          <w:bCs/>
          <w:color w:val="000000"/>
          <w:sz w:val="28"/>
          <w:szCs w:val="28"/>
          <w:highlight w:val="none"/>
        </w:rPr>
        <w:t>日期：</w:t>
      </w:r>
      <w:r>
        <w:rPr>
          <w:rFonts w:ascii="仿宋" w:hAnsi="仿宋" w:eastAsia="仿宋"/>
          <w:bCs/>
          <w:color w:val="000000"/>
          <w:sz w:val="28"/>
          <w:szCs w:val="28"/>
          <w:highlight w:val="none"/>
        </w:rPr>
        <w:t xml:space="preserve">   </w:t>
      </w:r>
      <w:r>
        <w:rPr>
          <w:rFonts w:hint="eastAsia" w:ascii="仿宋" w:hAnsi="仿宋" w:eastAsia="仿宋"/>
          <w:bCs/>
          <w:color w:val="000000"/>
          <w:sz w:val="28"/>
          <w:szCs w:val="28"/>
          <w:highlight w:val="none"/>
        </w:rPr>
        <w:t>年</w:t>
      </w:r>
      <w:r>
        <w:rPr>
          <w:rFonts w:ascii="仿宋" w:hAnsi="仿宋" w:eastAsia="仿宋"/>
          <w:bCs/>
          <w:color w:val="000000"/>
          <w:sz w:val="28"/>
          <w:szCs w:val="28"/>
          <w:highlight w:val="none"/>
        </w:rPr>
        <w:t xml:space="preserve">   </w:t>
      </w:r>
      <w:r>
        <w:rPr>
          <w:rFonts w:hint="eastAsia" w:ascii="仿宋" w:hAnsi="仿宋" w:eastAsia="仿宋"/>
          <w:bCs/>
          <w:color w:val="000000"/>
          <w:sz w:val="28"/>
          <w:szCs w:val="28"/>
          <w:highlight w:val="none"/>
        </w:rPr>
        <w:t>月</w:t>
      </w:r>
      <w:r>
        <w:rPr>
          <w:rFonts w:ascii="仿宋" w:hAnsi="仿宋" w:eastAsia="仿宋"/>
          <w:bCs/>
          <w:color w:val="000000"/>
          <w:sz w:val="28"/>
          <w:szCs w:val="28"/>
          <w:highlight w:val="none"/>
        </w:rPr>
        <w:t xml:space="preserve">  </w:t>
      </w:r>
      <w:r>
        <w:rPr>
          <w:rFonts w:hint="eastAsia" w:ascii="仿宋" w:hAnsi="仿宋" w:eastAsia="仿宋"/>
          <w:bCs/>
          <w:color w:val="000000"/>
          <w:sz w:val="28"/>
          <w:szCs w:val="28"/>
          <w:highlight w:val="none"/>
        </w:rPr>
        <w:t>日</w:t>
      </w:r>
    </w:p>
    <w:p w14:paraId="6F86E41B">
      <w:pPr>
        <w:rPr>
          <w:rStyle w:val="21"/>
          <w:rFonts w:hint="eastAsia" w:ascii="仿宋" w:hAnsi="仿宋" w:eastAsia="仿宋" w:cs="宋体"/>
          <w:b/>
          <w:bCs w:val="0"/>
          <w:kern w:val="0"/>
          <w:sz w:val="28"/>
          <w:szCs w:val="21"/>
          <w:highlight w:val="none"/>
        </w:rPr>
      </w:pPr>
    </w:p>
    <w:p w14:paraId="5E1EE860">
      <w:pPr>
        <w:pStyle w:val="10"/>
        <w:keepNext w:val="0"/>
        <w:keepLines w:val="0"/>
        <w:pageBreakBefore w:val="0"/>
        <w:widowControl w:val="0"/>
        <w:kinsoku/>
        <w:wordWrap/>
        <w:overflowPunct/>
        <w:topLinePunct w:val="0"/>
        <w:autoSpaceDE/>
        <w:autoSpaceDN/>
        <w:bidi w:val="0"/>
        <w:adjustRightInd/>
        <w:snapToGrid/>
        <w:jc w:val="both"/>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附件二：</w:t>
      </w:r>
    </w:p>
    <w:p w14:paraId="4A4D3FE4">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rPr>
        <w:t>报价一览表</w:t>
      </w:r>
    </w:p>
    <w:p w14:paraId="7FEAE28B">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14:paraId="3A94A337">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p>
    <w:tbl>
      <w:tblPr>
        <w:tblStyle w:val="18"/>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7"/>
        <w:gridCol w:w="6652"/>
      </w:tblGrid>
      <w:tr w14:paraId="27D6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exact"/>
          <w:jc w:val="center"/>
        </w:trPr>
        <w:tc>
          <w:tcPr>
            <w:tcW w:w="3067" w:type="dxa"/>
            <w:vAlign w:val="center"/>
          </w:tcPr>
          <w:p w14:paraId="00734E67">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Style w:val="21"/>
                <w:rFonts w:hint="default" w:ascii="仿宋" w:hAnsi="仿宋" w:eastAsia="仿宋" w:cs="宋体"/>
                <w:b w:val="0"/>
                <w:kern w:val="0"/>
                <w:sz w:val="28"/>
                <w:highlight w:val="none"/>
                <w:lang w:val="en-US" w:eastAsia="zh-CN"/>
              </w:rPr>
              <w:t>费率报价</w:t>
            </w:r>
          </w:p>
        </w:tc>
        <w:tc>
          <w:tcPr>
            <w:tcW w:w="6652" w:type="dxa"/>
            <w:vAlign w:val="center"/>
          </w:tcPr>
          <w:p w14:paraId="52E300A8">
            <w:pPr>
              <w:widowControl/>
              <w:jc w:val="left"/>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大写</w:t>
            </w:r>
            <w:r>
              <w:rPr>
                <w:rStyle w:val="21"/>
                <w:rFonts w:hint="eastAsia" w:ascii="仿宋" w:hAnsi="仿宋" w:eastAsia="仿宋" w:cs="宋体"/>
                <w:b w:val="0"/>
                <w:kern w:val="0"/>
                <w:sz w:val="28"/>
                <w:highlight w:val="none"/>
                <w:lang w:val="en-US" w:eastAsia="zh-CN"/>
              </w:rPr>
              <w:t>:百分之</w:t>
            </w:r>
            <w:r>
              <w:rPr>
                <w:rStyle w:val="21"/>
                <w:rFonts w:hint="eastAsia" w:ascii="仿宋" w:hAnsi="仿宋" w:eastAsia="仿宋" w:cs="宋体"/>
                <w:b w:val="0"/>
                <w:kern w:val="0"/>
                <w:sz w:val="28"/>
                <w:highlight w:val="none"/>
                <w:u w:val="single"/>
                <w:lang w:val="en-US" w:eastAsia="zh-CN"/>
              </w:rPr>
              <w:t xml:space="preserve">      </w:t>
            </w:r>
          </w:p>
          <w:p w14:paraId="6443292E">
            <w:pPr>
              <w:widowControl/>
              <w:jc w:val="left"/>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小写</w:t>
            </w:r>
            <w:r>
              <w:rPr>
                <w:rStyle w:val="21"/>
                <w:rFonts w:hint="eastAsia" w:ascii="仿宋" w:hAnsi="仿宋" w:eastAsia="仿宋" w:cs="宋体"/>
                <w:b w:val="0"/>
                <w:kern w:val="0"/>
                <w:sz w:val="28"/>
                <w:highlight w:val="none"/>
                <w:lang w:val="en-US" w:eastAsia="zh-CN"/>
              </w:rPr>
              <w:t>:</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lang w:val="en-US" w:eastAsia="zh-CN"/>
              </w:rPr>
              <w:t>%</w:t>
            </w:r>
          </w:p>
        </w:tc>
      </w:tr>
      <w:tr w14:paraId="31348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exact"/>
          <w:jc w:val="center"/>
        </w:trPr>
        <w:tc>
          <w:tcPr>
            <w:tcW w:w="3067" w:type="dxa"/>
            <w:vAlign w:val="center"/>
          </w:tcPr>
          <w:p w14:paraId="2C53B185">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服务响应期</w:t>
            </w:r>
          </w:p>
        </w:tc>
        <w:tc>
          <w:tcPr>
            <w:tcW w:w="6652" w:type="dxa"/>
            <w:vAlign w:val="center"/>
          </w:tcPr>
          <w:p w14:paraId="72F0DC6F">
            <w:pPr>
              <w:pStyle w:val="10"/>
              <w:ind w:left="77"/>
              <w:jc w:val="left"/>
              <w:rPr>
                <w:rStyle w:val="21"/>
                <w:rFonts w:hint="default" w:ascii="仿宋" w:hAnsi="仿宋" w:eastAsia="仿宋" w:cs="宋体"/>
                <w:b w:val="0"/>
                <w:kern w:val="0"/>
                <w:sz w:val="28"/>
                <w:highlight w:val="none"/>
                <w:lang w:val="en-US" w:eastAsia="zh-CN"/>
              </w:rPr>
            </w:pPr>
          </w:p>
        </w:tc>
      </w:tr>
      <w:tr w14:paraId="459F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3067" w:type="dxa"/>
            <w:vAlign w:val="center"/>
          </w:tcPr>
          <w:p w14:paraId="6D4EE139">
            <w:pPr>
              <w:pStyle w:val="7"/>
              <w:jc w:val="center"/>
              <w:rPr>
                <w:rStyle w:val="21"/>
                <w:rFonts w:hint="eastAsia" w:ascii="仿宋" w:hAnsi="仿宋" w:eastAsia="仿宋" w:cs="宋体"/>
                <w:b w:val="0"/>
                <w:kern w:val="0"/>
                <w:sz w:val="28"/>
                <w:highlight w:val="none"/>
                <w:lang w:val="en-US" w:eastAsia="zh-CN" w:bidi="ar-SA"/>
              </w:rPr>
            </w:pPr>
            <w:r>
              <w:rPr>
                <w:rStyle w:val="21"/>
                <w:rFonts w:hint="eastAsia" w:ascii="仿宋" w:hAnsi="仿宋" w:eastAsia="仿宋" w:cs="宋体"/>
                <w:b w:val="0"/>
                <w:kern w:val="0"/>
                <w:sz w:val="28"/>
                <w:highlight w:val="none"/>
                <w:lang w:val="en-US" w:eastAsia="zh-CN" w:bidi="ar-SA"/>
              </w:rPr>
              <w:t>合同履行期限</w:t>
            </w:r>
          </w:p>
          <w:p w14:paraId="6EA83421">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lang w:val="en-US" w:eastAsia="zh-CN" w:bidi="ar-SA"/>
              </w:rPr>
            </w:pPr>
          </w:p>
        </w:tc>
        <w:tc>
          <w:tcPr>
            <w:tcW w:w="6652" w:type="dxa"/>
            <w:vAlign w:val="center"/>
          </w:tcPr>
          <w:p w14:paraId="76D44D46">
            <w:pPr>
              <w:pStyle w:val="10"/>
              <w:ind w:left="77"/>
              <w:jc w:val="left"/>
              <w:rPr>
                <w:rStyle w:val="21"/>
                <w:rFonts w:hint="default" w:ascii="仿宋" w:hAnsi="仿宋" w:eastAsia="仿宋" w:cs="宋体"/>
                <w:b w:val="0"/>
                <w:kern w:val="0"/>
                <w:sz w:val="28"/>
                <w:highlight w:val="none"/>
                <w:lang w:val="en-US" w:eastAsia="zh-CN"/>
              </w:rPr>
            </w:pPr>
          </w:p>
        </w:tc>
      </w:tr>
      <w:tr w14:paraId="2EE0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3067" w:type="dxa"/>
            <w:vAlign w:val="center"/>
          </w:tcPr>
          <w:p w14:paraId="6C842768">
            <w:pPr>
              <w:pStyle w:val="7"/>
              <w:jc w:val="center"/>
              <w:rPr>
                <w:rStyle w:val="21"/>
                <w:rFonts w:hint="eastAsia" w:ascii="仿宋" w:hAnsi="仿宋" w:eastAsia="仿宋" w:cs="宋体"/>
                <w:b w:val="0"/>
                <w:kern w:val="0"/>
                <w:sz w:val="28"/>
                <w:highlight w:val="none"/>
                <w:lang w:val="en-US" w:eastAsia="zh-CN" w:bidi="ar-SA"/>
              </w:rPr>
            </w:pPr>
            <w:r>
              <w:rPr>
                <w:rStyle w:val="21"/>
                <w:rFonts w:hint="eastAsia" w:ascii="仿宋" w:hAnsi="仿宋" w:eastAsia="仿宋" w:cs="宋体"/>
                <w:b w:val="0"/>
                <w:kern w:val="0"/>
                <w:sz w:val="28"/>
                <w:highlight w:val="none"/>
                <w:lang w:val="en-US" w:eastAsia="zh-CN" w:bidi="ar-SA"/>
              </w:rPr>
              <w:t>合同履行期限</w:t>
            </w:r>
          </w:p>
          <w:p w14:paraId="32DB972C">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lang w:val="en-US" w:eastAsia="zh-CN" w:bidi="ar-SA"/>
              </w:rPr>
            </w:pPr>
          </w:p>
        </w:tc>
        <w:tc>
          <w:tcPr>
            <w:tcW w:w="6652" w:type="dxa"/>
            <w:vAlign w:val="center"/>
          </w:tcPr>
          <w:p w14:paraId="4D584D17">
            <w:pPr>
              <w:pStyle w:val="10"/>
              <w:ind w:left="77"/>
              <w:jc w:val="left"/>
              <w:rPr>
                <w:rStyle w:val="21"/>
                <w:rFonts w:hint="default" w:ascii="仿宋" w:hAnsi="仿宋" w:eastAsia="仿宋" w:cs="宋体"/>
                <w:b w:val="0"/>
                <w:kern w:val="0"/>
                <w:sz w:val="28"/>
                <w:highlight w:val="none"/>
                <w:lang w:val="en-US" w:eastAsia="zh-CN"/>
              </w:rPr>
            </w:pPr>
          </w:p>
        </w:tc>
      </w:tr>
      <w:tr w14:paraId="09D1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exact"/>
          <w:jc w:val="center"/>
        </w:trPr>
        <w:tc>
          <w:tcPr>
            <w:tcW w:w="3067" w:type="dxa"/>
            <w:vAlign w:val="center"/>
          </w:tcPr>
          <w:p w14:paraId="2C9D3569">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对磋商文件的</w:t>
            </w:r>
            <w:r>
              <w:rPr>
                <w:rStyle w:val="21"/>
                <w:rFonts w:hint="eastAsia" w:ascii="仿宋" w:hAnsi="仿宋" w:eastAsia="仿宋" w:cs="宋体"/>
                <w:b w:val="0"/>
                <w:kern w:val="0"/>
                <w:sz w:val="28"/>
                <w:highlight w:val="none"/>
                <w:lang w:val="en-US" w:eastAsia="zh-CN"/>
              </w:rPr>
              <w:t>响应</w:t>
            </w:r>
            <w:r>
              <w:rPr>
                <w:rStyle w:val="21"/>
                <w:rFonts w:hint="eastAsia" w:ascii="仿宋" w:hAnsi="仿宋" w:eastAsia="仿宋" w:cs="宋体"/>
                <w:b w:val="0"/>
                <w:kern w:val="0"/>
                <w:sz w:val="28"/>
                <w:highlight w:val="none"/>
              </w:rPr>
              <w:t>程度</w:t>
            </w:r>
          </w:p>
        </w:tc>
        <w:tc>
          <w:tcPr>
            <w:tcW w:w="6652" w:type="dxa"/>
            <w:vAlign w:val="center"/>
          </w:tcPr>
          <w:p w14:paraId="6AF78BC2">
            <w:pPr>
              <w:pStyle w:val="10"/>
              <w:jc w:val="left"/>
              <w:rPr>
                <w:rStyle w:val="21"/>
                <w:rFonts w:ascii="仿宋" w:hAnsi="仿宋" w:eastAsia="仿宋" w:cs="宋体"/>
                <w:b w:val="0"/>
                <w:kern w:val="0"/>
                <w:sz w:val="28"/>
                <w:highlight w:val="none"/>
              </w:rPr>
            </w:pPr>
          </w:p>
        </w:tc>
      </w:tr>
      <w:tr w14:paraId="649B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9719" w:type="dxa"/>
            <w:gridSpan w:val="2"/>
            <w:vAlign w:val="center"/>
          </w:tcPr>
          <w:p w14:paraId="4E849B71">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注：</w:t>
            </w:r>
          </w:p>
          <w:p w14:paraId="10D1080C">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1、报价币种：人民币。</w:t>
            </w:r>
          </w:p>
          <w:p w14:paraId="4AEE64D0">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w:t>
            </w:r>
            <w:r>
              <w:rPr>
                <w:rStyle w:val="21"/>
                <w:rFonts w:hint="eastAsia" w:ascii="仿宋" w:hAnsi="仿宋" w:eastAsia="仿宋" w:cs="宋体"/>
                <w:b w:val="0"/>
                <w:kern w:val="0"/>
                <w:sz w:val="28"/>
                <w:highlight w:val="none"/>
                <w:lang w:eastAsia="zh-CN"/>
              </w:rPr>
              <w:t>供货地点</w:t>
            </w:r>
            <w:r>
              <w:rPr>
                <w:rStyle w:val="21"/>
                <w:rFonts w:hint="eastAsia" w:ascii="仿宋" w:hAnsi="仿宋" w:eastAsia="仿宋" w:cs="宋体"/>
                <w:b w:val="0"/>
                <w:kern w:val="0"/>
                <w:sz w:val="28"/>
                <w:highlight w:val="none"/>
              </w:rPr>
              <w:t>：甲方指定地点。</w:t>
            </w:r>
          </w:p>
        </w:tc>
      </w:tr>
    </w:tbl>
    <w:p w14:paraId="748B5AA6">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3D32D896">
      <w:pPr>
        <w:pStyle w:val="10"/>
        <w:jc w:val="lef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7B4B7567">
      <w:pPr>
        <w:pStyle w:val="10"/>
        <w:jc w:val="righ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14:paraId="6B676028">
      <w:pPr>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br w:type="page"/>
      </w:r>
    </w:p>
    <w:p w14:paraId="391376FD">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b/>
          <w:color w:val="000000"/>
          <w:highlight w:val="none"/>
        </w:rPr>
      </w:pPr>
      <w:r>
        <w:rPr>
          <w:rFonts w:hint="eastAsia" w:ascii="仿宋" w:hAnsi="仿宋" w:eastAsia="仿宋"/>
          <w:b/>
          <w:color w:val="000000"/>
          <w:highlight w:val="none"/>
        </w:rPr>
        <w:t>分</w:t>
      </w:r>
      <w:r>
        <w:rPr>
          <w:rFonts w:ascii="仿宋" w:hAnsi="仿宋" w:eastAsia="仿宋"/>
          <w:b/>
          <w:color w:val="000000"/>
          <w:highlight w:val="none"/>
        </w:rPr>
        <w:t>项</w:t>
      </w:r>
      <w:r>
        <w:rPr>
          <w:rFonts w:hint="eastAsia" w:ascii="仿宋" w:hAnsi="仿宋" w:eastAsia="仿宋"/>
          <w:b/>
          <w:color w:val="000000"/>
          <w:highlight w:val="none"/>
        </w:rPr>
        <w:t>报价表</w:t>
      </w:r>
    </w:p>
    <w:p w14:paraId="4F584AD2">
      <w:pPr>
        <w:pStyle w:val="8"/>
        <w:ind w:firstLine="643"/>
        <w:rPr>
          <w:rFonts w:hint="eastAsia" w:ascii="仿宋" w:hAnsi="仿宋" w:eastAsia="仿宋"/>
          <w:b/>
          <w:color w:val="000000"/>
          <w:sz w:val="28"/>
          <w:szCs w:val="28"/>
          <w:highlight w:val="none"/>
        </w:rPr>
      </w:pPr>
    </w:p>
    <w:p w14:paraId="15A4614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hint="eastAsia" w:ascii="仿宋" w:hAnsi="仿宋" w:eastAsia="仿宋"/>
          <w:color w:val="000000"/>
          <w:sz w:val="28"/>
          <w:szCs w:val="28"/>
          <w:highlight w:val="none"/>
          <w:lang w:eastAsia="zh-CN"/>
        </w:rPr>
      </w:pPr>
    </w:p>
    <w:p w14:paraId="41B0608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hint="eastAsia" w:ascii="仿宋" w:hAnsi="仿宋" w:eastAsia="仿宋"/>
          <w:color w:val="000000"/>
          <w:sz w:val="28"/>
          <w:szCs w:val="28"/>
          <w:highlight w:val="none"/>
          <w:lang w:eastAsia="zh-CN"/>
        </w:rPr>
      </w:pPr>
    </w:p>
    <w:p w14:paraId="11E403C6">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hint="eastAsia" w:ascii="仿宋" w:hAnsi="仿宋" w:eastAsia="仿宋"/>
          <w:color w:val="000000"/>
          <w:sz w:val="28"/>
          <w:szCs w:val="28"/>
          <w:highlight w:val="none"/>
          <w:lang w:eastAsia="zh-CN"/>
        </w:rPr>
      </w:pPr>
    </w:p>
    <w:p w14:paraId="42FA9CF3">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格式自拟</w:t>
      </w:r>
      <w:r>
        <w:rPr>
          <w:rFonts w:hint="eastAsia" w:ascii="仿宋" w:hAnsi="仿宋" w:eastAsia="仿宋"/>
          <w:color w:val="000000"/>
          <w:sz w:val="28"/>
          <w:szCs w:val="28"/>
          <w:highlight w:val="none"/>
          <w:lang w:eastAsia="zh-CN"/>
        </w:rPr>
        <w:t>）</w:t>
      </w:r>
    </w:p>
    <w:p w14:paraId="688C5129">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olor w:val="000000"/>
          <w:sz w:val="28"/>
          <w:szCs w:val="28"/>
          <w:highlight w:val="none"/>
        </w:rPr>
      </w:pPr>
    </w:p>
    <w:p w14:paraId="536C15E5">
      <w:pPr>
        <w:pStyle w:val="10"/>
        <w:jc w:val="right"/>
        <w:rPr>
          <w:rFonts w:hint="eastAsia" w:ascii="仿宋" w:hAnsi="仿宋" w:eastAsia="仿宋"/>
          <w:color w:val="000000"/>
          <w:sz w:val="28"/>
          <w:szCs w:val="28"/>
          <w:highlight w:val="none"/>
        </w:rPr>
      </w:pPr>
    </w:p>
    <w:p w14:paraId="6D71AEE8">
      <w:pPr>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br w:type="page"/>
      </w:r>
    </w:p>
    <w:p w14:paraId="5E16DB01">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附件三：</w:t>
      </w:r>
    </w:p>
    <w:p w14:paraId="1FC2CE1D">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配置与技术规格偏离表</w:t>
      </w:r>
    </w:p>
    <w:tbl>
      <w:tblPr>
        <w:tblStyle w:val="18"/>
        <w:tblpPr w:leftFromText="180" w:rightFromText="180" w:vertAnchor="text" w:horzAnchor="page" w:tblpX="1345" w:tblpY="277"/>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99"/>
        <w:gridCol w:w="1426"/>
        <w:gridCol w:w="2011"/>
        <w:gridCol w:w="1608"/>
        <w:gridCol w:w="2159"/>
      </w:tblGrid>
      <w:tr w14:paraId="4966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913" w:type="dxa"/>
            <w:noWrap w:val="0"/>
            <w:vAlign w:val="center"/>
          </w:tcPr>
          <w:p w14:paraId="6856B9E3">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序</w:t>
            </w:r>
            <w:r>
              <w:rPr>
                <w:rFonts w:ascii="仿宋" w:hAnsi="仿宋" w:eastAsia="仿宋"/>
                <w:b/>
                <w:bCs/>
                <w:sz w:val="28"/>
                <w:szCs w:val="28"/>
                <w:highlight w:val="none"/>
              </w:rPr>
              <w:t>号</w:t>
            </w:r>
          </w:p>
        </w:tc>
        <w:tc>
          <w:tcPr>
            <w:tcW w:w="1499" w:type="dxa"/>
            <w:noWrap w:val="0"/>
            <w:vAlign w:val="center"/>
          </w:tcPr>
          <w:p w14:paraId="2760B245">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名</w:t>
            </w:r>
            <w:r>
              <w:rPr>
                <w:rFonts w:ascii="仿宋" w:hAnsi="仿宋" w:eastAsia="仿宋"/>
                <w:b/>
                <w:bCs/>
                <w:sz w:val="28"/>
                <w:szCs w:val="28"/>
                <w:highlight w:val="none"/>
              </w:rPr>
              <w:t>称</w:t>
            </w:r>
          </w:p>
        </w:tc>
        <w:tc>
          <w:tcPr>
            <w:tcW w:w="1426" w:type="dxa"/>
            <w:noWrap w:val="0"/>
            <w:vAlign w:val="center"/>
          </w:tcPr>
          <w:p w14:paraId="463A9F37">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正偏离/负偏离</w:t>
            </w:r>
          </w:p>
        </w:tc>
        <w:tc>
          <w:tcPr>
            <w:tcW w:w="2011" w:type="dxa"/>
            <w:noWrap w:val="0"/>
            <w:vAlign w:val="center"/>
          </w:tcPr>
          <w:p w14:paraId="416DED47">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采购</w:t>
            </w:r>
            <w:r>
              <w:rPr>
                <w:rFonts w:hint="eastAsia" w:ascii="仿宋" w:hAnsi="仿宋" w:eastAsia="仿宋"/>
                <w:b/>
                <w:bCs/>
                <w:sz w:val="28"/>
                <w:szCs w:val="28"/>
                <w:highlight w:val="none"/>
              </w:rPr>
              <w:t>文件技</w:t>
            </w:r>
            <w:r>
              <w:rPr>
                <w:rFonts w:ascii="仿宋" w:hAnsi="仿宋" w:eastAsia="仿宋"/>
                <w:b/>
                <w:bCs/>
                <w:sz w:val="28"/>
                <w:szCs w:val="28"/>
                <w:highlight w:val="none"/>
              </w:rPr>
              <w:t>术</w:t>
            </w:r>
            <w:r>
              <w:rPr>
                <w:rFonts w:hint="eastAsia" w:ascii="仿宋" w:hAnsi="仿宋" w:eastAsia="仿宋"/>
                <w:b/>
                <w:bCs/>
                <w:sz w:val="28"/>
                <w:szCs w:val="28"/>
                <w:highlight w:val="none"/>
                <w:lang w:val="en-US" w:eastAsia="zh-CN"/>
              </w:rPr>
              <w:t>参数</w:t>
            </w:r>
            <w:r>
              <w:rPr>
                <w:rFonts w:hint="eastAsia" w:ascii="仿宋" w:hAnsi="仿宋" w:eastAsia="仿宋"/>
                <w:b/>
                <w:bCs/>
                <w:sz w:val="28"/>
                <w:szCs w:val="28"/>
                <w:highlight w:val="none"/>
              </w:rPr>
              <w:t>要求</w:t>
            </w:r>
          </w:p>
        </w:tc>
        <w:tc>
          <w:tcPr>
            <w:tcW w:w="1608" w:type="dxa"/>
            <w:noWrap w:val="0"/>
            <w:vAlign w:val="center"/>
          </w:tcPr>
          <w:p w14:paraId="08E06155">
            <w:pPr>
              <w:pStyle w:val="14"/>
              <w:ind w:firstLine="0" w:firstLineChars="0"/>
              <w:jc w:val="center"/>
              <w:rPr>
                <w:rFonts w:hint="eastAsia" w:ascii="仿宋" w:hAnsi="仿宋" w:eastAsia="仿宋"/>
                <w:b/>
                <w:bCs/>
                <w:sz w:val="28"/>
                <w:szCs w:val="28"/>
                <w:highlight w:val="none"/>
                <w:lang w:eastAsia="zh-CN"/>
              </w:rPr>
            </w:pPr>
            <w:r>
              <w:rPr>
                <w:rFonts w:hint="eastAsia" w:ascii="仿宋" w:hAnsi="仿宋" w:eastAsia="仿宋"/>
                <w:b/>
                <w:bCs/>
                <w:sz w:val="28"/>
                <w:szCs w:val="28"/>
                <w:highlight w:val="none"/>
                <w:lang w:val="en-US" w:eastAsia="zh-CN"/>
              </w:rPr>
              <w:t>响应</w:t>
            </w:r>
            <w:r>
              <w:rPr>
                <w:rFonts w:hint="eastAsia" w:ascii="仿宋" w:hAnsi="仿宋" w:eastAsia="仿宋"/>
                <w:b/>
                <w:bCs/>
                <w:sz w:val="28"/>
                <w:szCs w:val="28"/>
                <w:highlight w:val="none"/>
              </w:rPr>
              <w:t>文件</w:t>
            </w:r>
            <w:r>
              <w:rPr>
                <w:rFonts w:ascii="仿宋" w:hAnsi="仿宋" w:eastAsia="仿宋"/>
                <w:b/>
                <w:bCs/>
                <w:sz w:val="28"/>
                <w:szCs w:val="28"/>
                <w:highlight w:val="none"/>
              </w:rPr>
              <w:t>对应</w:t>
            </w:r>
            <w:r>
              <w:rPr>
                <w:rFonts w:hint="eastAsia" w:ascii="仿宋" w:hAnsi="仿宋" w:eastAsia="仿宋"/>
                <w:b/>
                <w:bCs/>
                <w:sz w:val="28"/>
                <w:szCs w:val="28"/>
                <w:highlight w:val="none"/>
                <w:lang w:val="en-US" w:eastAsia="zh-CN"/>
              </w:rPr>
              <w:t>参数</w:t>
            </w:r>
          </w:p>
        </w:tc>
        <w:tc>
          <w:tcPr>
            <w:tcW w:w="2159" w:type="dxa"/>
            <w:noWrap w:val="0"/>
            <w:vAlign w:val="center"/>
          </w:tcPr>
          <w:p w14:paraId="65100C1F">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偏离原因</w:t>
            </w:r>
          </w:p>
        </w:tc>
      </w:tr>
      <w:tr w14:paraId="694F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429A9760">
            <w:pPr>
              <w:pStyle w:val="14"/>
              <w:ind w:firstLine="0" w:firstLineChars="0"/>
              <w:rPr>
                <w:rFonts w:hint="eastAsia" w:ascii="仿宋" w:hAnsi="仿宋" w:eastAsia="仿宋"/>
                <w:sz w:val="28"/>
                <w:szCs w:val="28"/>
                <w:highlight w:val="none"/>
              </w:rPr>
            </w:pPr>
          </w:p>
        </w:tc>
        <w:tc>
          <w:tcPr>
            <w:tcW w:w="1499" w:type="dxa"/>
            <w:noWrap w:val="0"/>
            <w:vAlign w:val="center"/>
          </w:tcPr>
          <w:p w14:paraId="5DDF8E5F">
            <w:pPr>
              <w:pStyle w:val="14"/>
              <w:ind w:firstLine="0" w:firstLineChars="0"/>
              <w:rPr>
                <w:rFonts w:hint="eastAsia" w:ascii="仿宋" w:hAnsi="仿宋" w:eastAsia="仿宋"/>
                <w:sz w:val="28"/>
                <w:szCs w:val="28"/>
                <w:highlight w:val="none"/>
              </w:rPr>
            </w:pPr>
          </w:p>
        </w:tc>
        <w:tc>
          <w:tcPr>
            <w:tcW w:w="1426" w:type="dxa"/>
            <w:noWrap w:val="0"/>
            <w:vAlign w:val="center"/>
          </w:tcPr>
          <w:p w14:paraId="198459A7">
            <w:pPr>
              <w:pStyle w:val="14"/>
              <w:ind w:firstLine="0" w:firstLineChars="0"/>
              <w:rPr>
                <w:rFonts w:hint="eastAsia" w:ascii="仿宋" w:hAnsi="仿宋" w:eastAsia="仿宋"/>
                <w:sz w:val="28"/>
                <w:szCs w:val="28"/>
                <w:highlight w:val="none"/>
              </w:rPr>
            </w:pPr>
          </w:p>
        </w:tc>
        <w:tc>
          <w:tcPr>
            <w:tcW w:w="2011" w:type="dxa"/>
            <w:noWrap w:val="0"/>
            <w:vAlign w:val="center"/>
          </w:tcPr>
          <w:p w14:paraId="368F866C">
            <w:pPr>
              <w:pStyle w:val="14"/>
              <w:ind w:firstLine="0" w:firstLineChars="0"/>
              <w:rPr>
                <w:rFonts w:hint="eastAsia" w:ascii="仿宋" w:hAnsi="仿宋" w:eastAsia="仿宋"/>
                <w:sz w:val="28"/>
                <w:szCs w:val="28"/>
                <w:highlight w:val="none"/>
              </w:rPr>
            </w:pPr>
          </w:p>
        </w:tc>
        <w:tc>
          <w:tcPr>
            <w:tcW w:w="1608" w:type="dxa"/>
            <w:noWrap w:val="0"/>
            <w:vAlign w:val="center"/>
          </w:tcPr>
          <w:p w14:paraId="4C5C3C63">
            <w:pPr>
              <w:pStyle w:val="14"/>
              <w:ind w:firstLine="0" w:firstLineChars="0"/>
              <w:rPr>
                <w:rFonts w:hint="eastAsia" w:ascii="仿宋" w:hAnsi="仿宋" w:eastAsia="仿宋"/>
                <w:sz w:val="28"/>
                <w:szCs w:val="28"/>
                <w:highlight w:val="none"/>
              </w:rPr>
            </w:pPr>
          </w:p>
        </w:tc>
        <w:tc>
          <w:tcPr>
            <w:tcW w:w="2159" w:type="dxa"/>
            <w:noWrap w:val="0"/>
            <w:vAlign w:val="center"/>
          </w:tcPr>
          <w:p w14:paraId="7D949934">
            <w:pPr>
              <w:pStyle w:val="14"/>
              <w:ind w:firstLine="0" w:firstLineChars="0"/>
              <w:rPr>
                <w:rFonts w:hint="eastAsia" w:ascii="仿宋" w:hAnsi="仿宋" w:eastAsia="仿宋"/>
                <w:sz w:val="28"/>
                <w:szCs w:val="28"/>
                <w:highlight w:val="none"/>
              </w:rPr>
            </w:pPr>
          </w:p>
        </w:tc>
      </w:tr>
      <w:tr w14:paraId="3244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4168731A">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781A0080">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32445A30">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369020A7">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42ED3540">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73C02C32">
            <w:pPr>
              <w:adjustRightInd w:val="0"/>
              <w:spacing w:line="360" w:lineRule="auto"/>
              <w:jc w:val="center"/>
              <w:rPr>
                <w:rFonts w:hint="eastAsia" w:ascii="仿宋" w:hAnsi="仿宋" w:eastAsia="仿宋"/>
                <w:sz w:val="28"/>
                <w:szCs w:val="28"/>
                <w:highlight w:val="none"/>
              </w:rPr>
            </w:pPr>
          </w:p>
        </w:tc>
      </w:tr>
      <w:tr w14:paraId="2FC0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5551D41D">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7B931B33">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2B396F41">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7AAF584E">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5B284580">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6525D345">
            <w:pPr>
              <w:adjustRightInd w:val="0"/>
              <w:spacing w:line="360" w:lineRule="auto"/>
              <w:jc w:val="center"/>
              <w:rPr>
                <w:rFonts w:hint="eastAsia" w:ascii="仿宋" w:hAnsi="仿宋" w:eastAsia="仿宋"/>
                <w:sz w:val="28"/>
                <w:szCs w:val="28"/>
                <w:highlight w:val="none"/>
              </w:rPr>
            </w:pPr>
          </w:p>
        </w:tc>
      </w:tr>
      <w:tr w14:paraId="7369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7989F5D2">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6A120B7A">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60F5EAFC">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2A79DF1C">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3C586D3C">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54EAFE9F">
            <w:pPr>
              <w:adjustRightInd w:val="0"/>
              <w:spacing w:line="360" w:lineRule="auto"/>
              <w:jc w:val="center"/>
              <w:rPr>
                <w:rFonts w:hint="eastAsia" w:ascii="仿宋" w:hAnsi="仿宋" w:eastAsia="仿宋"/>
                <w:sz w:val="28"/>
                <w:szCs w:val="28"/>
                <w:highlight w:val="none"/>
              </w:rPr>
            </w:pPr>
          </w:p>
        </w:tc>
      </w:tr>
      <w:tr w14:paraId="04D75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20251E9B">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715C6441">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0F2AD16D">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529195AC">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20FBD061">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426626D4">
            <w:pPr>
              <w:adjustRightInd w:val="0"/>
              <w:spacing w:line="360" w:lineRule="auto"/>
              <w:jc w:val="center"/>
              <w:rPr>
                <w:rFonts w:hint="eastAsia" w:ascii="仿宋" w:hAnsi="仿宋" w:eastAsia="仿宋"/>
                <w:sz w:val="28"/>
                <w:szCs w:val="28"/>
                <w:highlight w:val="none"/>
              </w:rPr>
            </w:pPr>
          </w:p>
        </w:tc>
      </w:tr>
      <w:tr w14:paraId="785B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4A1FEDDE">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26E7CBCE">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23D57BBD">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4E695447">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2DE12ACC">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25A1F649">
            <w:pPr>
              <w:adjustRightInd w:val="0"/>
              <w:spacing w:line="360" w:lineRule="auto"/>
              <w:jc w:val="center"/>
              <w:rPr>
                <w:rFonts w:hint="eastAsia" w:ascii="仿宋" w:hAnsi="仿宋" w:eastAsia="仿宋"/>
                <w:sz w:val="28"/>
                <w:szCs w:val="28"/>
                <w:highlight w:val="none"/>
              </w:rPr>
            </w:pPr>
          </w:p>
        </w:tc>
      </w:tr>
      <w:tr w14:paraId="3B3D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5A90C801">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7EC1CEDD">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61E6A723">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2FAD7D37">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26B21C8D">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0CEF151C">
            <w:pPr>
              <w:adjustRightInd w:val="0"/>
              <w:spacing w:line="360" w:lineRule="auto"/>
              <w:jc w:val="center"/>
              <w:rPr>
                <w:rFonts w:hint="eastAsia" w:ascii="仿宋" w:hAnsi="仿宋" w:eastAsia="仿宋"/>
                <w:sz w:val="28"/>
                <w:szCs w:val="28"/>
                <w:highlight w:val="none"/>
              </w:rPr>
            </w:pPr>
          </w:p>
        </w:tc>
      </w:tr>
      <w:tr w14:paraId="0BE4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2F6F4D4D">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2E30E923">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3BA4BD1E">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10740ACC">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3780BC1F">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0672B885">
            <w:pPr>
              <w:adjustRightInd w:val="0"/>
              <w:spacing w:line="360" w:lineRule="auto"/>
              <w:jc w:val="center"/>
              <w:rPr>
                <w:rFonts w:hint="eastAsia" w:ascii="仿宋" w:hAnsi="仿宋" w:eastAsia="仿宋"/>
                <w:sz w:val="28"/>
                <w:szCs w:val="28"/>
                <w:highlight w:val="none"/>
              </w:rPr>
            </w:pPr>
          </w:p>
        </w:tc>
      </w:tr>
    </w:tbl>
    <w:p w14:paraId="0F2A0B5A">
      <w:pPr>
        <w:tabs>
          <w:tab w:val="left" w:pos="0"/>
          <w:tab w:val="left" w:pos="720"/>
          <w:tab w:val="left" w:pos="1440"/>
          <w:tab w:val="left" w:pos="2160"/>
          <w:tab w:val="left" w:pos="2880"/>
          <w:tab w:val="left" w:pos="3390"/>
          <w:tab w:val="left" w:pos="4320"/>
        </w:tabs>
        <w:autoSpaceDE w:val="0"/>
        <w:autoSpaceDN w:val="0"/>
        <w:adjustRightInd w:val="0"/>
        <w:spacing w:line="360" w:lineRule="auto"/>
        <w:jc w:val="right"/>
        <w:rPr>
          <w:rFonts w:hint="eastAsia" w:ascii="仿宋" w:hAnsi="仿宋" w:eastAsia="仿宋"/>
          <w:b/>
          <w:bCs/>
          <w:sz w:val="24"/>
          <w:highlight w:val="none"/>
        </w:rPr>
      </w:pPr>
      <w:r>
        <w:rPr>
          <w:rFonts w:hint="eastAsia" w:ascii="仿宋" w:hAnsi="仿宋" w:eastAsia="仿宋"/>
          <w:sz w:val="24"/>
          <w:highlight w:val="none"/>
          <w:u w:val="single"/>
        </w:rPr>
        <w:t xml:space="preserve">  </w:t>
      </w:r>
    </w:p>
    <w:p w14:paraId="411983FA">
      <w:pPr>
        <w:pStyle w:val="14"/>
        <w:ind w:firstLine="0" w:firstLineChars="0"/>
        <w:rPr>
          <w:rFonts w:hint="eastAsia" w:ascii="仿宋" w:hAnsi="仿宋" w:eastAsia="仿宋"/>
          <w:sz w:val="28"/>
          <w:szCs w:val="24"/>
          <w:highlight w:val="none"/>
        </w:rPr>
      </w:pPr>
      <w:bookmarkStart w:id="28" w:name="OLE_LINK7"/>
      <w:r>
        <w:rPr>
          <w:rFonts w:hint="eastAsia" w:ascii="仿宋" w:hAnsi="仿宋" w:eastAsia="仿宋"/>
          <w:sz w:val="28"/>
          <w:szCs w:val="24"/>
          <w:highlight w:val="none"/>
        </w:rPr>
        <w:t>供应商名</w:t>
      </w:r>
      <w:r>
        <w:rPr>
          <w:rFonts w:ascii="仿宋" w:hAnsi="仿宋" w:eastAsia="仿宋"/>
          <w:sz w:val="28"/>
          <w:szCs w:val="24"/>
          <w:highlight w:val="none"/>
        </w:rPr>
        <w:t>称</w:t>
      </w:r>
      <w:r>
        <w:rPr>
          <w:rFonts w:hint="eastAsia" w:ascii="仿宋" w:hAnsi="仿宋" w:eastAsia="仿宋"/>
          <w:sz w:val="28"/>
          <w:szCs w:val="24"/>
          <w:highlight w:val="none"/>
        </w:rPr>
        <w:t>（</w:t>
      </w:r>
      <w:r>
        <w:rPr>
          <w:rFonts w:ascii="仿宋" w:hAnsi="仿宋" w:eastAsia="仿宋"/>
          <w:sz w:val="28"/>
          <w:szCs w:val="24"/>
          <w:highlight w:val="none"/>
        </w:rPr>
        <w:t>盖</w:t>
      </w:r>
      <w:r>
        <w:rPr>
          <w:rFonts w:hint="eastAsia" w:ascii="仿宋" w:hAnsi="仿宋" w:eastAsia="仿宋"/>
          <w:sz w:val="28"/>
          <w:szCs w:val="24"/>
          <w:highlight w:val="none"/>
        </w:rPr>
        <w:t>章）：</w:t>
      </w:r>
      <w:r>
        <w:rPr>
          <w:rFonts w:ascii="仿宋" w:hAnsi="仿宋" w:eastAsia="仿宋"/>
          <w:sz w:val="28"/>
          <w:szCs w:val="24"/>
          <w:highlight w:val="none"/>
        </w:rPr>
        <w:t xml:space="preserve">        </w:t>
      </w:r>
      <w:r>
        <w:rPr>
          <w:rFonts w:hint="eastAsia" w:ascii="仿宋" w:hAnsi="仿宋" w:eastAsia="仿宋"/>
          <w:sz w:val="28"/>
          <w:szCs w:val="24"/>
          <w:highlight w:val="none"/>
        </w:rPr>
        <w:t xml:space="preserve">法定代表人或委托代理人签字（或盖章）： </w:t>
      </w:r>
    </w:p>
    <w:p w14:paraId="21F3B045">
      <w:pPr>
        <w:spacing w:line="360" w:lineRule="auto"/>
        <w:jc w:val="right"/>
        <w:rPr>
          <w:rFonts w:hint="eastAsia" w:ascii="仿宋" w:hAnsi="仿宋" w:eastAsia="仿宋"/>
          <w:sz w:val="28"/>
          <w:highlight w:val="none"/>
        </w:rPr>
      </w:pPr>
      <w:r>
        <w:rPr>
          <w:rFonts w:hint="eastAsia" w:ascii="仿宋" w:hAnsi="仿宋" w:eastAsia="仿宋"/>
          <w:sz w:val="28"/>
          <w:highlight w:val="none"/>
        </w:rPr>
        <w:t>年</w:t>
      </w:r>
      <w:r>
        <w:rPr>
          <w:rFonts w:ascii="仿宋" w:hAnsi="仿宋" w:eastAsia="仿宋"/>
          <w:sz w:val="28"/>
          <w:highlight w:val="none"/>
        </w:rPr>
        <w:t xml:space="preserve">   </w:t>
      </w:r>
      <w:r>
        <w:rPr>
          <w:rFonts w:hint="eastAsia" w:ascii="仿宋" w:hAnsi="仿宋" w:eastAsia="仿宋"/>
          <w:sz w:val="28"/>
          <w:highlight w:val="none"/>
        </w:rPr>
        <w:t>月</w:t>
      </w:r>
      <w:r>
        <w:rPr>
          <w:rFonts w:ascii="仿宋" w:hAnsi="仿宋" w:eastAsia="仿宋"/>
          <w:sz w:val="28"/>
          <w:highlight w:val="none"/>
        </w:rPr>
        <w:t xml:space="preserve">   </w:t>
      </w:r>
      <w:r>
        <w:rPr>
          <w:rFonts w:hint="eastAsia" w:ascii="仿宋" w:hAnsi="仿宋" w:eastAsia="仿宋"/>
          <w:sz w:val="28"/>
          <w:highlight w:val="none"/>
        </w:rPr>
        <w:t>日</w:t>
      </w:r>
    </w:p>
    <w:bookmarkEnd w:id="28"/>
    <w:p w14:paraId="41BAEA4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8"/>
          <w:highlight w:val="none"/>
        </w:rPr>
      </w:pPr>
      <w:r>
        <w:rPr>
          <w:rFonts w:ascii="仿宋" w:hAnsi="仿宋" w:eastAsia="仿宋"/>
          <w:sz w:val="28"/>
          <w:highlight w:val="none"/>
        </w:rPr>
        <w:t>说</w:t>
      </w:r>
      <w:r>
        <w:rPr>
          <w:rFonts w:hint="eastAsia" w:ascii="仿宋" w:hAnsi="仿宋" w:eastAsia="仿宋"/>
          <w:sz w:val="28"/>
          <w:highlight w:val="none"/>
        </w:rPr>
        <w:t>明：</w:t>
      </w:r>
    </w:p>
    <w:p w14:paraId="3D902A10">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1. 如所报内容与磋商文件的要求存在技术正偏离，请填写备注 “ 正偏离 ” ；</w:t>
      </w:r>
    </w:p>
    <w:p w14:paraId="0CAEC64D">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 xml:space="preserve">2. 如所报内容与磋商文件的要求不存在技术偏离，请填写备注 “ 无偏离 ” ；3. 如所报内容与磋商文件的要求存在技术负偏离，请填写备注“负偏离 </w:t>
      </w:r>
    </w:p>
    <w:p w14:paraId="6EDC5A85">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lang w:val="en-US" w:eastAsia="zh-CN"/>
        </w:rPr>
      </w:pPr>
      <w:r>
        <w:rPr>
          <w:rFonts w:hint="eastAsia" w:ascii="仿宋" w:hAnsi="仿宋" w:eastAsia="仿宋"/>
          <w:sz w:val="28"/>
          <w:highlight w:val="none"/>
          <w:lang w:val="en-US" w:eastAsia="zh-CN"/>
        </w:rPr>
        <w:t>4、技术参数须在表格后逐项列明并提供证明材料，未按要求提供的视为技术参数负偏离。</w:t>
      </w:r>
    </w:p>
    <w:p w14:paraId="72E50973">
      <w:pPr>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14:paraId="71BE74A9">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附件四：</w:t>
      </w:r>
    </w:p>
    <w:p w14:paraId="5E424D36">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法定代表人身份证明</w:t>
      </w:r>
    </w:p>
    <w:p w14:paraId="0E8879FA">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（后附法定代表人身份证</w:t>
      </w:r>
      <w:r>
        <w:rPr>
          <w:rStyle w:val="21"/>
          <w:rFonts w:hint="eastAsia" w:ascii="仿宋" w:hAnsi="仿宋" w:eastAsia="仿宋" w:cs="宋体"/>
          <w:b w:val="0"/>
          <w:kern w:val="0"/>
          <w:sz w:val="28"/>
          <w:highlight w:val="none"/>
          <w:lang w:val="en-US" w:eastAsia="zh-CN"/>
        </w:rPr>
        <w:t>复印件</w:t>
      </w:r>
      <w:r>
        <w:rPr>
          <w:rStyle w:val="21"/>
          <w:rFonts w:hint="eastAsia" w:ascii="仿宋" w:hAnsi="仿宋" w:eastAsia="仿宋" w:cs="宋体"/>
          <w:b w:val="0"/>
          <w:kern w:val="0"/>
          <w:sz w:val="28"/>
          <w:highlight w:val="none"/>
        </w:rPr>
        <w:t>）</w:t>
      </w:r>
    </w:p>
    <w:p w14:paraId="4F6E228C">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p>
    <w:p w14:paraId="16F180EC">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单位性质：</w:t>
      </w:r>
    </w:p>
    <w:p w14:paraId="499DF90A">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地址：</w:t>
      </w:r>
    </w:p>
    <w:p w14:paraId="64621E6B">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成立时间：</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rPr>
        <w:t>年</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rPr>
        <w:t>月</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rPr>
        <w:t>日</w:t>
      </w:r>
    </w:p>
    <w:p w14:paraId="3040E0C2">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经营期限：</w:t>
      </w:r>
    </w:p>
    <w:p w14:paraId="7D289796">
      <w:pPr>
        <w:pStyle w:val="10"/>
        <w:rPr>
          <w:rStyle w:val="21"/>
          <w:rFonts w:ascii="仿宋" w:hAnsi="仿宋" w:eastAsia="仿宋" w:cs="宋体"/>
          <w:b w:val="0"/>
          <w:kern w:val="0"/>
          <w:sz w:val="28"/>
          <w:highlight w:val="none"/>
          <w:u w:val="single"/>
        </w:rPr>
      </w:pPr>
      <w:r>
        <w:rPr>
          <w:rStyle w:val="21"/>
          <w:rFonts w:hint="eastAsia" w:ascii="仿宋" w:hAnsi="仿宋" w:eastAsia="仿宋" w:cs="宋体"/>
          <w:b w:val="0"/>
          <w:kern w:val="0"/>
          <w:sz w:val="28"/>
          <w:highlight w:val="none"/>
        </w:rPr>
        <w:t>姓名： 性别： 年龄： 职务：</w:t>
      </w:r>
    </w:p>
    <w:p w14:paraId="1466C3F2">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系（供应商名称）的法定代表人。</w:t>
      </w:r>
    </w:p>
    <w:p w14:paraId="01B6E97E">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特此证明。</w:t>
      </w:r>
    </w:p>
    <w:p w14:paraId="5C076AEA">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3F01D2CF">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14:paraId="23669198">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17D67A5A">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附件五：</w:t>
      </w:r>
    </w:p>
    <w:p w14:paraId="0ABE42E9">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授权委托书</w:t>
      </w:r>
    </w:p>
    <w:p w14:paraId="78680CD7">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本人</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系</w:t>
      </w:r>
      <w:r>
        <w:rPr>
          <w:rStyle w:val="21"/>
          <w:rFonts w:hint="eastAsia" w:ascii="仿宋" w:hAnsi="仿宋" w:eastAsia="仿宋" w:cs="宋体"/>
          <w:b w:val="0"/>
          <w:kern w:val="0"/>
          <w:sz w:val="28"/>
          <w:highlight w:val="none"/>
          <w:u w:val="single"/>
        </w:rPr>
        <w:t>（供应商名称）</w:t>
      </w:r>
      <w:r>
        <w:rPr>
          <w:rStyle w:val="21"/>
          <w:rFonts w:hint="eastAsia" w:ascii="仿宋" w:hAnsi="仿宋" w:eastAsia="仿宋" w:cs="宋体"/>
          <w:b w:val="0"/>
          <w:kern w:val="0"/>
          <w:sz w:val="28"/>
          <w:highlight w:val="none"/>
        </w:rPr>
        <w:t>的法定代表人，现委托</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为我方代理人。代理人根据授权，以我方名义签署、澄清、说明、补正、提交、撤回、修改（项目名称）响应文件和处理有关事宜，其法律后果由我方承担。</w:t>
      </w:r>
    </w:p>
    <w:p w14:paraId="0CEB8D3E">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委托期限：</w:t>
      </w:r>
    </w:p>
    <w:p w14:paraId="498B97A3">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代理人无转委托权。</w:t>
      </w:r>
    </w:p>
    <w:p w14:paraId="05838F3E">
      <w:pPr>
        <w:pStyle w:val="10"/>
        <w:ind w:right="1120"/>
        <w:jc w:val="center"/>
        <w:rPr>
          <w:rStyle w:val="21"/>
          <w:rFonts w:ascii="仿宋" w:hAnsi="仿宋" w:eastAsia="仿宋" w:cs="宋体"/>
          <w:b w:val="0"/>
          <w:kern w:val="0"/>
          <w:sz w:val="28"/>
          <w:highlight w:val="none"/>
        </w:rPr>
      </w:pPr>
    </w:p>
    <w:p w14:paraId="043649E5">
      <w:pPr>
        <w:pStyle w:val="10"/>
        <w:ind w:right="1120"/>
        <w:jc w:val="both"/>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7770540A">
      <w:pPr>
        <w:pStyle w:val="10"/>
        <w:jc w:val="right"/>
        <w:rPr>
          <w:rStyle w:val="21"/>
          <w:rFonts w:ascii="仿宋" w:hAnsi="仿宋" w:eastAsia="仿宋" w:cs="宋体"/>
          <w:b w:val="0"/>
          <w:kern w:val="0"/>
          <w:sz w:val="28"/>
          <w:highlight w:val="none"/>
        </w:rPr>
      </w:pPr>
    </w:p>
    <w:p w14:paraId="4D012B16">
      <w:pPr>
        <w:pStyle w:val="10"/>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 （</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4D35638D">
      <w:pPr>
        <w:pStyle w:val="10"/>
        <w:ind w:right="1120" w:firstLine="3640" w:firstLineChars="1300"/>
        <w:rPr>
          <w:rStyle w:val="21"/>
          <w:rFonts w:ascii="仿宋" w:hAnsi="仿宋" w:eastAsia="仿宋" w:cs="宋体"/>
          <w:b w:val="0"/>
          <w:kern w:val="0"/>
          <w:sz w:val="28"/>
          <w:highlight w:val="none"/>
        </w:rPr>
      </w:pPr>
    </w:p>
    <w:p w14:paraId="409D589C">
      <w:pPr>
        <w:pStyle w:val="10"/>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身份证号码：</w:t>
      </w:r>
    </w:p>
    <w:p w14:paraId="34A911E8">
      <w:pPr>
        <w:pStyle w:val="10"/>
        <w:jc w:val="right"/>
        <w:rPr>
          <w:rStyle w:val="21"/>
          <w:rFonts w:ascii="仿宋" w:hAnsi="仿宋" w:eastAsia="仿宋" w:cs="宋体"/>
          <w:b w:val="0"/>
          <w:kern w:val="0"/>
          <w:sz w:val="28"/>
          <w:highlight w:val="none"/>
        </w:rPr>
      </w:pPr>
    </w:p>
    <w:p w14:paraId="51511DE7">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14:paraId="6D8A8474">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注：后附法定代表人及授权代理人身份证</w:t>
      </w:r>
      <w:r>
        <w:rPr>
          <w:rStyle w:val="21"/>
          <w:rFonts w:hint="eastAsia" w:ascii="仿宋" w:hAnsi="仿宋" w:eastAsia="仿宋" w:cs="宋体"/>
          <w:b w:val="0"/>
          <w:kern w:val="0"/>
          <w:sz w:val="28"/>
          <w:highlight w:val="none"/>
          <w:lang w:val="en-US" w:eastAsia="zh-CN"/>
        </w:rPr>
        <w:t>复印件</w:t>
      </w:r>
      <w:r>
        <w:rPr>
          <w:rStyle w:val="21"/>
          <w:rFonts w:ascii="仿宋" w:hAnsi="仿宋" w:eastAsia="仿宋" w:cs="宋体"/>
          <w:b w:val="0"/>
          <w:kern w:val="0"/>
          <w:sz w:val="28"/>
          <w:highlight w:val="none"/>
        </w:rPr>
        <w:br w:type="page"/>
      </w:r>
      <w:bookmarkStart w:id="29" w:name="_Toc318788779"/>
    </w:p>
    <w:bookmarkEnd w:id="29"/>
    <w:p w14:paraId="1CA8FC63">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附件六：</w:t>
      </w:r>
    </w:p>
    <w:p w14:paraId="2B05CCA5">
      <w:pPr>
        <w:pStyle w:val="10"/>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供应商缴纳税收和社会保障资金等证明告知承诺书</w:t>
      </w:r>
    </w:p>
    <w:p w14:paraId="5B94BF09">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本公司（联合体）郑重承诺：</w:t>
      </w:r>
    </w:p>
    <w:p w14:paraId="6E42169B">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1、承诺具有良好的商业信誉和健全的财务会计制度；</w:t>
      </w:r>
    </w:p>
    <w:p w14:paraId="24D71C06">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2、承诺依法缴纳税收和社会保障资金的良好记录；</w:t>
      </w:r>
    </w:p>
    <w:p w14:paraId="68AE1713">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3、承诺参加政府采购活动前三年内，在经营活动中没有重大违法记录。</w:t>
      </w:r>
    </w:p>
    <w:p w14:paraId="593F61E3">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我公司对上述承诺内容的真实性负责，如虚假承诺，将依法承担相应法律责任。</w:t>
      </w:r>
    </w:p>
    <w:p w14:paraId="069B628D">
      <w:pPr>
        <w:pStyle w:val="10"/>
        <w:jc w:val="right"/>
        <w:rPr>
          <w:rStyle w:val="21"/>
          <w:rFonts w:ascii="仿宋" w:hAnsi="仿宋" w:eastAsia="仿宋" w:cs="宋体"/>
          <w:b w:val="0"/>
          <w:kern w:val="0"/>
          <w:sz w:val="28"/>
          <w:highlight w:val="none"/>
        </w:rPr>
      </w:pPr>
    </w:p>
    <w:p w14:paraId="5AE69CEB">
      <w:pPr>
        <w:pStyle w:val="10"/>
        <w:jc w:val="right"/>
        <w:rPr>
          <w:rStyle w:val="21"/>
          <w:rFonts w:ascii="仿宋" w:hAnsi="仿宋" w:eastAsia="仿宋" w:cs="宋体"/>
          <w:b w:val="0"/>
          <w:kern w:val="0"/>
          <w:sz w:val="28"/>
          <w:highlight w:val="none"/>
        </w:rPr>
      </w:pPr>
    </w:p>
    <w:p w14:paraId="4446DB5D">
      <w:pPr>
        <w:pStyle w:val="10"/>
        <w:jc w:val="right"/>
        <w:rPr>
          <w:rStyle w:val="21"/>
          <w:rFonts w:ascii="仿宋" w:hAnsi="仿宋" w:eastAsia="仿宋" w:cs="宋体"/>
          <w:b w:val="0"/>
          <w:kern w:val="0"/>
          <w:sz w:val="28"/>
          <w:highlight w:val="none"/>
        </w:rPr>
      </w:pPr>
    </w:p>
    <w:p w14:paraId="138C4F4E">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承诺单位：__________________（</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0F6483A2">
      <w:pPr>
        <w:pStyle w:val="10"/>
        <w:jc w:val="right"/>
        <w:rPr>
          <w:rStyle w:val="21"/>
          <w:rFonts w:ascii="仿宋" w:hAnsi="仿宋" w:eastAsia="仿宋" w:cs="宋体"/>
          <w:b w:val="0"/>
          <w:kern w:val="0"/>
          <w:sz w:val="28"/>
          <w:highlight w:val="none"/>
        </w:rPr>
      </w:pPr>
    </w:p>
    <w:p w14:paraId="460F20D1">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法定代表人或委托代理人：__________________（</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0D61344D">
      <w:pPr>
        <w:pStyle w:val="10"/>
        <w:jc w:val="right"/>
        <w:rPr>
          <w:rStyle w:val="21"/>
          <w:rFonts w:ascii="仿宋" w:hAnsi="仿宋" w:eastAsia="仿宋" w:cs="宋体"/>
          <w:b w:val="0"/>
          <w:kern w:val="0"/>
          <w:sz w:val="28"/>
          <w:highlight w:val="none"/>
        </w:rPr>
      </w:pPr>
    </w:p>
    <w:p w14:paraId="4F9A2427">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_____ 年___ 月 ___日</w:t>
      </w:r>
    </w:p>
    <w:p w14:paraId="20728E9B">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2F0DC902">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附件七：</w:t>
      </w:r>
    </w:p>
    <w:p w14:paraId="7163BCF5">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履行合同的设备及技术能力证明表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14:paraId="2250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1E3A03B4">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单位名称</w:t>
            </w:r>
          </w:p>
        </w:tc>
        <w:tc>
          <w:tcPr>
            <w:tcW w:w="7930" w:type="dxa"/>
            <w:gridSpan w:val="5"/>
            <w:vAlign w:val="center"/>
          </w:tcPr>
          <w:p w14:paraId="331946F4">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tc>
      </w:tr>
      <w:tr w14:paraId="005E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94ADE27">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技术人员数量</w:t>
            </w:r>
          </w:p>
        </w:tc>
        <w:tc>
          <w:tcPr>
            <w:tcW w:w="1586" w:type="dxa"/>
            <w:vAlign w:val="center"/>
          </w:tcPr>
          <w:p w14:paraId="2822D29D">
            <w:pPr>
              <w:pStyle w:val="10"/>
              <w:jc w:val="center"/>
              <w:rPr>
                <w:rStyle w:val="21"/>
                <w:rFonts w:ascii="仿宋" w:hAnsi="仿宋" w:eastAsia="仿宋" w:cs="宋体"/>
                <w:b w:val="0"/>
                <w:kern w:val="0"/>
                <w:sz w:val="28"/>
                <w:highlight w:val="none"/>
              </w:rPr>
            </w:pPr>
          </w:p>
        </w:tc>
        <w:tc>
          <w:tcPr>
            <w:tcW w:w="1586" w:type="dxa"/>
            <w:vAlign w:val="center"/>
          </w:tcPr>
          <w:p w14:paraId="55B1F34C">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管理人员数量</w:t>
            </w:r>
          </w:p>
        </w:tc>
        <w:tc>
          <w:tcPr>
            <w:tcW w:w="1586" w:type="dxa"/>
            <w:vAlign w:val="center"/>
          </w:tcPr>
          <w:p w14:paraId="573169E6">
            <w:pPr>
              <w:pStyle w:val="10"/>
              <w:jc w:val="center"/>
              <w:rPr>
                <w:rStyle w:val="21"/>
                <w:rFonts w:ascii="仿宋" w:hAnsi="仿宋" w:eastAsia="仿宋" w:cs="宋体"/>
                <w:b w:val="0"/>
                <w:kern w:val="0"/>
                <w:sz w:val="28"/>
                <w:highlight w:val="none"/>
              </w:rPr>
            </w:pPr>
          </w:p>
        </w:tc>
        <w:tc>
          <w:tcPr>
            <w:tcW w:w="1590" w:type="dxa"/>
            <w:vAlign w:val="center"/>
          </w:tcPr>
          <w:p w14:paraId="79D68353">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生产人员数量</w:t>
            </w:r>
          </w:p>
        </w:tc>
        <w:tc>
          <w:tcPr>
            <w:tcW w:w="1582" w:type="dxa"/>
            <w:vAlign w:val="center"/>
          </w:tcPr>
          <w:p w14:paraId="0ABD57D4">
            <w:pPr>
              <w:pStyle w:val="10"/>
              <w:jc w:val="center"/>
              <w:rPr>
                <w:rStyle w:val="21"/>
                <w:rFonts w:ascii="仿宋" w:hAnsi="仿宋" w:eastAsia="仿宋" w:cs="宋体"/>
                <w:b w:val="0"/>
                <w:kern w:val="0"/>
                <w:sz w:val="28"/>
                <w:highlight w:val="none"/>
              </w:rPr>
            </w:pPr>
          </w:p>
        </w:tc>
      </w:tr>
      <w:tr w14:paraId="0105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43FBF88E">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生产设备情况</w:t>
            </w:r>
          </w:p>
        </w:tc>
      </w:tr>
      <w:tr w14:paraId="6EDE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03B7EDD">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14:paraId="7672F66C">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14:paraId="5FC730E5">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14:paraId="6E3C47B0">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14:paraId="4478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311A6A9">
            <w:pPr>
              <w:pStyle w:val="10"/>
              <w:jc w:val="center"/>
              <w:rPr>
                <w:rStyle w:val="21"/>
                <w:rFonts w:ascii="仿宋" w:hAnsi="仿宋" w:eastAsia="仿宋" w:cs="宋体"/>
                <w:b w:val="0"/>
                <w:kern w:val="0"/>
                <w:sz w:val="28"/>
                <w:highlight w:val="none"/>
              </w:rPr>
            </w:pPr>
          </w:p>
        </w:tc>
        <w:tc>
          <w:tcPr>
            <w:tcW w:w="1586" w:type="dxa"/>
            <w:vAlign w:val="center"/>
          </w:tcPr>
          <w:p w14:paraId="2928CED5">
            <w:pPr>
              <w:pStyle w:val="10"/>
              <w:jc w:val="center"/>
              <w:rPr>
                <w:rStyle w:val="21"/>
                <w:rFonts w:ascii="仿宋" w:hAnsi="仿宋" w:eastAsia="仿宋" w:cs="宋体"/>
                <w:b w:val="0"/>
                <w:kern w:val="0"/>
                <w:sz w:val="28"/>
                <w:highlight w:val="none"/>
              </w:rPr>
            </w:pPr>
          </w:p>
        </w:tc>
        <w:tc>
          <w:tcPr>
            <w:tcW w:w="4762" w:type="dxa"/>
            <w:gridSpan w:val="3"/>
            <w:vAlign w:val="center"/>
          </w:tcPr>
          <w:p w14:paraId="3F0C649E">
            <w:pPr>
              <w:pStyle w:val="10"/>
              <w:jc w:val="center"/>
              <w:rPr>
                <w:rStyle w:val="21"/>
                <w:rFonts w:ascii="仿宋" w:hAnsi="仿宋" w:eastAsia="仿宋" w:cs="宋体"/>
                <w:b w:val="0"/>
                <w:kern w:val="0"/>
                <w:sz w:val="28"/>
                <w:highlight w:val="none"/>
              </w:rPr>
            </w:pPr>
          </w:p>
        </w:tc>
        <w:tc>
          <w:tcPr>
            <w:tcW w:w="1582" w:type="dxa"/>
            <w:vAlign w:val="center"/>
          </w:tcPr>
          <w:p w14:paraId="38D8D8FB">
            <w:pPr>
              <w:pStyle w:val="10"/>
              <w:jc w:val="center"/>
              <w:rPr>
                <w:rStyle w:val="21"/>
                <w:rFonts w:ascii="仿宋" w:hAnsi="仿宋" w:eastAsia="仿宋" w:cs="宋体"/>
                <w:b w:val="0"/>
                <w:kern w:val="0"/>
                <w:sz w:val="28"/>
                <w:highlight w:val="none"/>
              </w:rPr>
            </w:pPr>
          </w:p>
        </w:tc>
      </w:tr>
      <w:tr w14:paraId="3C16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28EA2E0">
            <w:pPr>
              <w:pStyle w:val="10"/>
              <w:jc w:val="center"/>
              <w:rPr>
                <w:rStyle w:val="21"/>
                <w:rFonts w:ascii="仿宋" w:hAnsi="仿宋" w:eastAsia="仿宋" w:cs="宋体"/>
                <w:b w:val="0"/>
                <w:kern w:val="0"/>
                <w:sz w:val="28"/>
                <w:highlight w:val="none"/>
              </w:rPr>
            </w:pPr>
          </w:p>
        </w:tc>
        <w:tc>
          <w:tcPr>
            <w:tcW w:w="1586" w:type="dxa"/>
            <w:vAlign w:val="center"/>
          </w:tcPr>
          <w:p w14:paraId="7A56B39D">
            <w:pPr>
              <w:pStyle w:val="10"/>
              <w:jc w:val="center"/>
              <w:rPr>
                <w:rStyle w:val="21"/>
                <w:rFonts w:ascii="仿宋" w:hAnsi="仿宋" w:eastAsia="仿宋" w:cs="宋体"/>
                <w:b w:val="0"/>
                <w:kern w:val="0"/>
                <w:sz w:val="28"/>
                <w:highlight w:val="none"/>
              </w:rPr>
            </w:pPr>
          </w:p>
        </w:tc>
        <w:tc>
          <w:tcPr>
            <w:tcW w:w="4762" w:type="dxa"/>
            <w:gridSpan w:val="3"/>
            <w:vAlign w:val="center"/>
          </w:tcPr>
          <w:p w14:paraId="5C7825FC">
            <w:pPr>
              <w:pStyle w:val="10"/>
              <w:jc w:val="center"/>
              <w:rPr>
                <w:rStyle w:val="21"/>
                <w:rFonts w:ascii="仿宋" w:hAnsi="仿宋" w:eastAsia="仿宋" w:cs="宋体"/>
                <w:b w:val="0"/>
                <w:kern w:val="0"/>
                <w:sz w:val="28"/>
                <w:highlight w:val="none"/>
              </w:rPr>
            </w:pPr>
          </w:p>
        </w:tc>
        <w:tc>
          <w:tcPr>
            <w:tcW w:w="1582" w:type="dxa"/>
            <w:vAlign w:val="center"/>
          </w:tcPr>
          <w:p w14:paraId="109E551C">
            <w:pPr>
              <w:pStyle w:val="10"/>
              <w:jc w:val="center"/>
              <w:rPr>
                <w:rStyle w:val="21"/>
                <w:rFonts w:ascii="仿宋" w:hAnsi="仿宋" w:eastAsia="仿宋" w:cs="宋体"/>
                <w:b w:val="0"/>
                <w:kern w:val="0"/>
                <w:sz w:val="28"/>
                <w:highlight w:val="none"/>
              </w:rPr>
            </w:pPr>
          </w:p>
        </w:tc>
      </w:tr>
      <w:tr w14:paraId="2DF5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26DE131D">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其他设备情况</w:t>
            </w:r>
          </w:p>
        </w:tc>
      </w:tr>
      <w:tr w14:paraId="470E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B77DC0B">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14:paraId="2D114C80">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14:paraId="40441397">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14:paraId="2658877A">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14:paraId="0F6C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EE158FD">
            <w:pPr>
              <w:pStyle w:val="10"/>
              <w:jc w:val="center"/>
              <w:rPr>
                <w:rStyle w:val="21"/>
                <w:rFonts w:ascii="仿宋" w:hAnsi="仿宋" w:eastAsia="仿宋" w:cs="宋体"/>
                <w:b w:val="0"/>
                <w:kern w:val="0"/>
                <w:sz w:val="28"/>
                <w:highlight w:val="none"/>
              </w:rPr>
            </w:pPr>
          </w:p>
        </w:tc>
        <w:tc>
          <w:tcPr>
            <w:tcW w:w="1586" w:type="dxa"/>
            <w:vAlign w:val="center"/>
          </w:tcPr>
          <w:p w14:paraId="12ADFE6B">
            <w:pPr>
              <w:pStyle w:val="10"/>
              <w:jc w:val="center"/>
              <w:rPr>
                <w:rStyle w:val="21"/>
                <w:rFonts w:ascii="仿宋" w:hAnsi="仿宋" w:eastAsia="仿宋" w:cs="宋体"/>
                <w:b w:val="0"/>
                <w:kern w:val="0"/>
                <w:sz w:val="28"/>
                <w:highlight w:val="none"/>
              </w:rPr>
            </w:pPr>
          </w:p>
        </w:tc>
        <w:tc>
          <w:tcPr>
            <w:tcW w:w="4762" w:type="dxa"/>
            <w:gridSpan w:val="3"/>
            <w:vAlign w:val="center"/>
          </w:tcPr>
          <w:p w14:paraId="7929F3E2">
            <w:pPr>
              <w:pStyle w:val="10"/>
              <w:jc w:val="center"/>
              <w:rPr>
                <w:rStyle w:val="21"/>
                <w:rFonts w:ascii="仿宋" w:hAnsi="仿宋" w:eastAsia="仿宋" w:cs="宋体"/>
                <w:b w:val="0"/>
                <w:kern w:val="0"/>
                <w:sz w:val="28"/>
                <w:highlight w:val="none"/>
              </w:rPr>
            </w:pPr>
          </w:p>
        </w:tc>
        <w:tc>
          <w:tcPr>
            <w:tcW w:w="1582" w:type="dxa"/>
            <w:vAlign w:val="center"/>
          </w:tcPr>
          <w:p w14:paraId="3B91C5F1">
            <w:pPr>
              <w:pStyle w:val="10"/>
              <w:jc w:val="center"/>
              <w:rPr>
                <w:rStyle w:val="21"/>
                <w:rFonts w:ascii="仿宋" w:hAnsi="仿宋" w:eastAsia="仿宋" w:cs="宋体"/>
                <w:b w:val="0"/>
                <w:kern w:val="0"/>
                <w:sz w:val="28"/>
                <w:highlight w:val="none"/>
              </w:rPr>
            </w:pPr>
          </w:p>
        </w:tc>
      </w:tr>
      <w:tr w14:paraId="38DC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CFC11E8">
            <w:pPr>
              <w:pStyle w:val="10"/>
              <w:jc w:val="center"/>
              <w:rPr>
                <w:rStyle w:val="21"/>
                <w:rFonts w:ascii="仿宋" w:hAnsi="仿宋" w:eastAsia="仿宋" w:cs="宋体"/>
                <w:b w:val="0"/>
                <w:kern w:val="0"/>
                <w:sz w:val="28"/>
                <w:highlight w:val="none"/>
              </w:rPr>
            </w:pPr>
          </w:p>
        </w:tc>
        <w:tc>
          <w:tcPr>
            <w:tcW w:w="1586" w:type="dxa"/>
            <w:vAlign w:val="center"/>
          </w:tcPr>
          <w:p w14:paraId="7CCDDDA2">
            <w:pPr>
              <w:pStyle w:val="10"/>
              <w:jc w:val="center"/>
              <w:rPr>
                <w:rStyle w:val="21"/>
                <w:rFonts w:ascii="仿宋" w:hAnsi="仿宋" w:eastAsia="仿宋" w:cs="宋体"/>
                <w:b w:val="0"/>
                <w:kern w:val="0"/>
                <w:sz w:val="28"/>
                <w:highlight w:val="none"/>
              </w:rPr>
            </w:pPr>
          </w:p>
        </w:tc>
        <w:tc>
          <w:tcPr>
            <w:tcW w:w="4762" w:type="dxa"/>
            <w:gridSpan w:val="3"/>
            <w:vAlign w:val="center"/>
          </w:tcPr>
          <w:p w14:paraId="4361AE1A">
            <w:pPr>
              <w:pStyle w:val="10"/>
              <w:jc w:val="center"/>
              <w:rPr>
                <w:rStyle w:val="21"/>
                <w:rFonts w:ascii="仿宋" w:hAnsi="仿宋" w:eastAsia="仿宋" w:cs="宋体"/>
                <w:b w:val="0"/>
                <w:kern w:val="0"/>
                <w:sz w:val="28"/>
                <w:highlight w:val="none"/>
              </w:rPr>
            </w:pPr>
          </w:p>
        </w:tc>
        <w:tc>
          <w:tcPr>
            <w:tcW w:w="1582" w:type="dxa"/>
            <w:vAlign w:val="center"/>
          </w:tcPr>
          <w:p w14:paraId="066DC7BF">
            <w:pPr>
              <w:pStyle w:val="10"/>
              <w:jc w:val="center"/>
              <w:rPr>
                <w:rStyle w:val="21"/>
                <w:rFonts w:ascii="仿宋" w:hAnsi="仿宋" w:eastAsia="仿宋" w:cs="宋体"/>
                <w:b w:val="0"/>
                <w:kern w:val="0"/>
                <w:sz w:val="28"/>
                <w:highlight w:val="none"/>
              </w:rPr>
            </w:pPr>
          </w:p>
        </w:tc>
      </w:tr>
      <w:tr w14:paraId="367F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353A289A">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专业技术能力情况</w:t>
            </w:r>
          </w:p>
        </w:tc>
      </w:tr>
      <w:tr w14:paraId="71289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114AF7A0">
            <w:pPr>
              <w:pStyle w:val="10"/>
              <w:jc w:val="center"/>
              <w:rPr>
                <w:rStyle w:val="21"/>
                <w:rFonts w:ascii="仿宋" w:hAnsi="仿宋" w:eastAsia="仿宋" w:cs="宋体"/>
                <w:b w:val="0"/>
                <w:kern w:val="0"/>
                <w:sz w:val="28"/>
                <w:highlight w:val="none"/>
              </w:rPr>
            </w:pPr>
          </w:p>
        </w:tc>
      </w:tr>
    </w:tbl>
    <w:p w14:paraId="30EDF08E">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1、本表由供应商填写；</w:t>
      </w:r>
    </w:p>
    <w:p w14:paraId="2D859ABE">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14:paraId="1C8928FA">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091D09DE">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bCs w:val="0"/>
          <w:kern w:val="0"/>
          <w:sz w:val="28"/>
          <w:szCs w:val="21"/>
          <w:highlight w:val="none"/>
          <w:lang w:val="en-US" w:eastAsia="zh-CN"/>
        </w:rPr>
      </w:pPr>
      <w:bookmarkStart w:id="30" w:name="_Toc101085381"/>
      <w:bookmarkStart w:id="31" w:name="_Toc318788780"/>
      <w:bookmarkStart w:id="32" w:name="_Toc187146970"/>
      <w:bookmarkStart w:id="33" w:name="_Toc252113258"/>
      <w:r>
        <w:rPr>
          <w:rStyle w:val="21"/>
          <w:rFonts w:hint="eastAsia" w:ascii="仿宋" w:hAnsi="仿宋" w:eastAsia="仿宋" w:cs="宋体"/>
          <w:b/>
          <w:bCs w:val="0"/>
          <w:kern w:val="0"/>
          <w:sz w:val="28"/>
          <w:szCs w:val="21"/>
          <w:highlight w:val="none"/>
          <w:lang w:val="en-US" w:eastAsia="zh-CN"/>
        </w:rPr>
        <w:t>附件八：</w:t>
      </w:r>
    </w:p>
    <w:p w14:paraId="26C22A1D">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经营业绩一览表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786"/>
        <w:gridCol w:w="1386"/>
        <w:gridCol w:w="1586"/>
        <w:gridCol w:w="1586"/>
      </w:tblGrid>
      <w:tr w14:paraId="7680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BB0C10B">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序号</w:t>
            </w:r>
          </w:p>
        </w:tc>
        <w:tc>
          <w:tcPr>
            <w:tcW w:w="1586" w:type="dxa"/>
            <w:vAlign w:val="center"/>
          </w:tcPr>
          <w:p w14:paraId="430DE626">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lang w:val="en-US" w:eastAsia="zh-CN"/>
              </w:rPr>
              <w:t>项目</w:t>
            </w:r>
            <w:r>
              <w:rPr>
                <w:rStyle w:val="21"/>
                <w:rFonts w:hint="eastAsia" w:ascii="仿宋" w:hAnsi="仿宋" w:eastAsia="仿宋" w:cs="宋体"/>
                <w:kern w:val="0"/>
                <w:sz w:val="28"/>
                <w:highlight w:val="none"/>
              </w:rPr>
              <w:t>名称</w:t>
            </w:r>
          </w:p>
        </w:tc>
        <w:tc>
          <w:tcPr>
            <w:tcW w:w="1786" w:type="dxa"/>
            <w:vAlign w:val="center"/>
          </w:tcPr>
          <w:p w14:paraId="16EC16C1">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lang w:val="en-US" w:eastAsia="zh-CN"/>
              </w:rPr>
              <w:t>采购人名称</w:t>
            </w:r>
            <w:r>
              <w:rPr>
                <w:rStyle w:val="21"/>
                <w:rFonts w:hint="eastAsia" w:ascii="仿宋" w:hAnsi="仿宋" w:eastAsia="仿宋" w:cs="宋体"/>
                <w:kern w:val="0"/>
                <w:sz w:val="28"/>
                <w:highlight w:val="none"/>
              </w:rPr>
              <w:t xml:space="preserve"> </w:t>
            </w:r>
          </w:p>
        </w:tc>
        <w:tc>
          <w:tcPr>
            <w:tcW w:w="1386" w:type="dxa"/>
            <w:vAlign w:val="center"/>
          </w:tcPr>
          <w:p w14:paraId="7C2C883C">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联系人</w:t>
            </w:r>
          </w:p>
        </w:tc>
        <w:tc>
          <w:tcPr>
            <w:tcW w:w="1586" w:type="dxa"/>
            <w:vAlign w:val="center"/>
          </w:tcPr>
          <w:p w14:paraId="04FCEEDA">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联系电话</w:t>
            </w:r>
          </w:p>
        </w:tc>
        <w:tc>
          <w:tcPr>
            <w:tcW w:w="1586" w:type="dxa"/>
            <w:vAlign w:val="center"/>
          </w:tcPr>
          <w:p w14:paraId="29701605">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备注</w:t>
            </w:r>
          </w:p>
        </w:tc>
      </w:tr>
      <w:tr w14:paraId="699F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70FF60E">
            <w:pPr>
              <w:pStyle w:val="10"/>
              <w:jc w:val="center"/>
              <w:rPr>
                <w:rStyle w:val="21"/>
                <w:rFonts w:ascii="仿宋" w:hAnsi="仿宋" w:eastAsia="仿宋" w:cs="宋体"/>
                <w:b w:val="0"/>
                <w:kern w:val="0"/>
                <w:sz w:val="28"/>
                <w:highlight w:val="none"/>
              </w:rPr>
            </w:pPr>
          </w:p>
        </w:tc>
        <w:tc>
          <w:tcPr>
            <w:tcW w:w="1586" w:type="dxa"/>
            <w:vAlign w:val="center"/>
          </w:tcPr>
          <w:p w14:paraId="0D575A85">
            <w:pPr>
              <w:pStyle w:val="10"/>
              <w:jc w:val="center"/>
              <w:rPr>
                <w:rStyle w:val="21"/>
                <w:rFonts w:ascii="仿宋" w:hAnsi="仿宋" w:eastAsia="仿宋" w:cs="宋体"/>
                <w:b w:val="0"/>
                <w:kern w:val="0"/>
                <w:sz w:val="28"/>
                <w:highlight w:val="none"/>
              </w:rPr>
            </w:pPr>
          </w:p>
        </w:tc>
        <w:tc>
          <w:tcPr>
            <w:tcW w:w="1786" w:type="dxa"/>
            <w:vAlign w:val="center"/>
          </w:tcPr>
          <w:p w14:paraId="5BCFF86C">
            <w:pPr>
              <w:pStyle w:val="10"/>
              <w:jc w:val="center"/>
              <w:rPr>
                <w:rStyle w:val="21"/>
                <w:rFonts w:ascii="仿宋" w:hAnsi="仿宋" w:eastAsia="仿宋" w:cs="宋体"/>
                <w:b w:val="0"/>
                <w:kern w:val="0"/>
                <w:sz w:val="28"/>
                <w:highlight w:val="none"/>
              </w:rPr>
            </w:pPr>
          </w:p>
        </w:tc>
        <w:tc>
          <w:tcPr>
            <w:tcW w:w="1386" w:type="dxa"/>
            <w:vAlign w:val="center"/>
          </w:tcPr>
          <w:p w14:paraId="0AAB3788">
            <w:pPr>
              <w:pStyle w:val="10"/>
              <w:jc w:val="center"/>
              <w:rPr>
                <w:rStyle w:val="21"/>
                <w:rFonts w:ascii="仿宋" w:hAnsi="仿宋" w:eastAsia="仿宋" w:cs="宋体"/>
                <w:b w:val="0"/>
                <w:kern w:val="0"/>
                <w:sz w:val="28"/>
                <w:highlight w:val="none"/>
              </w:rPr>
            </w:pPr>
          </w:p>
        </w:tc>
        <w:tc>
          <w:tcPr>
            <w:tcW w:w="1586" w:type="dxa"/>
            <w:vAlign w:val="center"/>
          </w:tcPr>
          <w:p w14:paraId="1653E4C5">
            <w:pPr>
              <w:pStyle w:val="10"/>
              <w:jc w:val="center"/>
              <w:rPr>
                <w:rStyle w:val="21"/>
                <w:rFonts w:ascii="仿宋" w:hAnsi="仿宋" w:eastAsia="仿宋" w:cs="宋体"/>
                <w:b w:val="0"/>
                <w:kern w:val="0"/>
                <w:sz w:val="28"/>
                <w:highlight w:val="none"/>
              </w:rPr>
            </w:pPr>
          </w:p>
        </w:tc>
        <w:tc>
          <w:tcPr>
            <w:tcW w:w="1586" w:type="dxa"/>
            <w:vAlign w:val="center"/>
          </w:tcPr>
          <w:p w14:paraId="638849EB">
            <w:pPr>
              <w:pStyle w:val="10"/>
              <w:jc w:val="center"/>
              <w:rPr>
                <w:rStyle w:val="21"/>
                <w:rFonts w:ascii="仿宋" w:hAnsi="仿宋" w:eastAsia="仿宋" w:cs="宋体"/>
                <w:b w:val="0"/>
                <w:kern w:val="0"/>
                <w:sz w:val="28"/>
                <w:highlight w:val="none"/>
              </w:rPr>
            </w:pPr>
          </w:p>
        </w:tc>
      </w:tr>
      <w:tr w14:paraId="4143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40EF2B4">
            <w:pPr>
              <w:pStyle w:val="10"/>
              <w:jc w:val="center"/>
              <w:rPr>
                <w:rStyle w:val="21"/>
                <w:rFonts w:ascii="仿宋" w:hAnsi="仿宋" w:eastAsia="仿宋" w:cs="宋体"/>
                <w:b w:val="0"/>
                <w:kern w:val="0"/>
                <w:sz w:val="28"/>
                <w:highlight w:val="none"/>
              </w:rPr>
            </w:pPr>
          </w:p>
        </w:tc>
        <w:tc>
          <w:tcPr>
            <w:tcW w:w="1586" w:type="dxa"/>
            <w:vAlign w:val="center"/>
          </w:tcPr>
          <w:p w14:paraId="6B36089B">
            <w:pPr>
              <w:pStyle w:val="10"/>
              <w:jc w:val="center"/>
              <w:rPr>
                <w:rStyle w:val="21"/>
                <w:rFonts w:ascii="仿宋" w:hAnsi="仿宋" w:eastAsia="仿宋" w:cs="宋体"/>
                <w:b w:val="0"/>
                <w:kern w:val="0"/>
                <w:sz w:val="28"/>
                <w:highlight w:val="none"/>
              </w:rPr>
            </w:pPr>
          </w:p>
        </w:tc>
        <w:tc>
          <w:tcPr>
            <w:tcW w:w="1786" w:type="dxa"/>
            <w:vAlign w:val="center"/>
          </w:tcPr>
          <w:p w14:paraId="03E48625">
            <w:pPr>
              <w:pStyle w:val="10"/>
              <w:jc w:val="center"/>
              <w:rPr>
                <w:rStyle w:val="21"/>
                <w:rFonts w:ascii="仿宋" w:hAnsi="仿宋" w:eastAsia="仿宋" w:cs="宋体"/>
                <w:b w:val="0"/>
                <w:kern w:val="0"/>
                <w:sz w:val="28"/>
                <w:highlight w:val="none"/>
              </w:rPr>
            </w:pPr>
          </w:p>
        </w:tc>
        <w:tc>
          <w:tcPr>
            <w:tcW w:w="1386" w:type="dxa"/>
            <w:vAlign w:val="center"/>
          </w:tcPr>
          <w:p w14:paraId="25886778">
            <w:pPr>
              <w:pStyle w:val="10"/>
              <w:jc w:val="center"/>
              <w:rPr>
                <w:rStyle w:val="21"/>
                <w:rFonts w:ascii="仿宋" w:hAnsi="仿宋" w:eastAsia="仿宋" w:cs="宋体"/>
                <w:b w:val="0"/>
                <w:kern w:val="0"/>
                <w:sz w:val="28"/>
                <w:highlight w:val="none"/>
              </w:rPr>
            </w:pPr>
          </w:p>
        </w:tc>
        <w:tc>
          <w:tcPr>
            <w:tcW w:w="1586" w:type="dxa"/>
            <w:vAlign w:val="center"/>
          </w:tcPr>
          <w:p w14:paraId="6CB2C378">
            <w:pPr>
              <w:pStyle w:val="10"/>
              <w:jc w:val="center"/>
              <w:rPr>
                <w:rStyle w:val="21"/>
                <w:rFonts w:ascii="仿宋" w:hAnsi="仿宋" w:eastAsia="仿宋" w:cs="宋体"/>
                <w:b w:val="0"/>
                <w:kern w:val="0"/>
                <w:sz w:val="28"/>
                <w:highlight w:val="none"/>
              </w:rPr>
            </w:pPr>
          </w:p>
        </w:tc>
        <w:tc>
          <w:tcPr>
            <w:tcW w:w="1586" w:type="dxa"/>
            <w:vAlign w:val="center"/>
          </w:tcPr>
          <w:p w14:paraId="30027ED9">
            <w:pPr>
              <w:pStyle w:val="10"/>
              <w:jc w:val="center"/>
              <w:rPr>
                <w:rStyle w:val="21"/>
                <w:rFonts w:ascii="仿宋" w:hAnsi="仿宋" w:eastAsia="仿宋" w:cs="宋体"/>
                <w:b w:val="0"/>
                <w:kern w:val="0"/>
                <w:sz w:val="28"/>
                <w:highlight w:val="none"/>
              </w:rPr>
            </w:pPr>
          </w:p>
        </w:tc>
      </w:tr>
      <w:tr w14:paraId="6871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CA11F28">
            <w:pPr>
              <w:pStyle w:val="10"/>
              <w:jc w:val="center"/>
              <w:rPr>
                <w:rStyle w:val="21"/>
                <w:rFonts w:ascii="仿宋" w:hAnsi="仿宋" w:eastAsia="仿宋" w:cs="宋体"/>
                <w:b w:val="0"/>
                <w:kern w:val="0"/>
                <w:sz w:val="28"/>
                <w:highlight w:val="none"/>
              </w:rPr>
            </w:pPr>
          </w:p>
        </w:tc>
        <w:tc>
          <w:tcPr>
            <w:tcW w:w="1586" w:type="dxa"/>
            <w:vAlign w:val="center"/>
          </w:tcPr>
          <w:p w14:paraId="38AEE669">
            <w:pPr>
              <w:pStyle w:val="10"/>
              <w:jc w:val="center"/>
              <w:rPr>
                <w:rStyle w:val="21"/>
                <w:rFonts w:ascii="仿宋" w:hAnsi="仿宋" w:eastAsia="仿宋" w:cs="宋体"/>
                <w:b w:val="0"/>
                <w:kern w:val="0"/>
                <w:sz w:val="28"/>
                <w:highlight w:val="none"/>
              </w:rPr>
            </w:pPr>
          </w:p>
        </w:tc>
        <w:tc>
          <w:tcPr>
            <w:tcW w:w="1786" w:type="dxa"/>
            <w:vAlign w:val="center"/>
          </w:tcPr>
          <w:p w14:paraId="51A78968">
            <w:pPr>
              <w:pStyle w:val="10"/>
              <w:jc w:val="center"/>
              <w:rPr>
                <w:rStyle w:val="21"/>
                <w:rFonts w:ascii="仿宋" w:hAnsi="仿宋" w:eastAsia="仿宋" w:cs="宋体"/>
                <w:b w:val="0"/>
                <w:kern w:val="0"/>
                <w:sz w:val="28"/>
                <w:highlight w:val="none"/>
              </w:rPr>
            </w:pPr>
          </w:p>
        </w:tc>
        <w:tc>
          <w:tcPr>
            <w:tcW w:w="1386" w:type="dxa"/>
            <w:vAlign w:val="center"/>
          </w:tcPr>
          <w:p w14:paraId="1DC0C81D">
            <w:pPr>
              <w:pStyle w:val="10"/>
              <w:jc w:val="center"/>
              <w:rPr>
                <w:rStyle w:val="21"/>
                <w:rFonts w:ascii="仿宋" w:hAnsi="仿宋" w:eastAsia="仿宋" w:cs="宋体"/>
                <w:b w:val="0"/>
                <w:kern w:val="0"/>
                <w:sz w:val="28"/>
                <w:highlight w:val="none"/>
              </w:rPr>
            </w:pPr>
          </w:p>
        </w:tc>
        <w:tc>
          <w:tcPr>
            <w:tcW w:w="1586" w:type="dxa"/>
            <w:vAlign w:val="center"/>
          </w:tcPr>
          <w:p w14:paraId="65E90C50">
            <w:pPr>
              <w:pStyle w:val="10"/>
              <w:jc w:val="center"/>
              <w:rPr>
                <w:rStyle w:val="21"/>
                <w:rFonts w:ascii="仿宋" w:hAnsi="仿宋" w:eastAsia="仿宋" w:cs="宋体"/>
                <w:b w:val="0"/>
                <w:kern w:val="0"/>
                <w:sz w:val="28"/>
                <w:highlight w:val="none"/>
              </w:rPr>
            </w:pPr>
          </w:p>
        </w:tc>
        <w:tc>
          <w:tcPr>
            <w:tcW w:w="1586" w:type="dxa"/>
            <w:vAlign w:val="center"/>
          </w:tcPr>
          <w:p w14:paraId="6B560EA9">
            <w:pPr>
              <w:pStyle w:val="10"/>
              <w:jc w:val="center"/>
              <w:rPr>
                <w:rStyle w:val="21"/>
                <w:rFonts w:ascii="仿宋" w:hAnsi="仿宋" w:eastAsia="仿宋" w:cs="宋体"/>
                <w:b w:val="0"/>
                <w:kern w:val="0"/>
                <w:sz w:val="28"/>
                <w:highlight w:val="none"/>
              </w:rPr>
            </w:pPr>
          </w:p>
        </w:tc>
      </w:tr>
      <w:tr w14:paraId="0028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F331252">
            <w:pPr>
              <w:pStyle w:val="10"/>
              <w:jc w:val="center"/>
              <w:rPr>
                <w:rStyle w:val="21"/>
                <w:rFonts w:ascii="仿宋" w:hAnsi="仿宋" w:eastAsia="仿宋" w:cs="宋体"/>
                <w:b w:val="0"/>
                <w:kern w:val="0"/>
                <w:sz w:val="28"/>
                <w:highlight w:val="none"/>
              </w:rPr>
            </w:pPr>
          </w:p>
        </w:tc>
        <w:tc>
          <w:tcPr>
            <w:tcW w:w="1586" w:type="dxa"/>
            <w:vAlign w:val="center"/>
          </w:tcPr>
          <w:p w14:paraId="4A0D7A4B">
            <w:pPr>
              <w:pStyle w:val="10"/>
              <w:jc w:val="center"/>
              <w:rPr>
                <w:rStyle w:val="21"/>
                <w:rFonts w:ascii="仿宋" w:hAnsi="仿宋" w:eastAsia="仿宋" w:cs="宋体"/>
                <w:b w:val="0"/>
                <w:kern w:val="0"/>
                <w:sz w:val="28"/>
                <w:highlight w:val="none"/>
              </w:rPr>
            </w:pPr>
          </w:p>
        </w:tc>
        <w:tc>
          <w:tcPr>
            <w:tcW w:w="1786" w:type="dxa"/>
            <w:vAlign w:val="center"/>
          </w:tcPr>
          <w:p w14:paraId="38FF27BF">
            <w:pPr>
              <w:pStyle w:val="10"/>
              <w:jc w:val="center"/>
              <w:rPr>
                <w:rStyle w:val="21"/>
                <w:rFonts w:ascii="仿宋" w:hAnsi="仿宋" w:eastAsia="仿宋" w:cs="宋体"/>
                <w:b w:val="0"/>
                <w:kern w:val="0"/>
                <w:sz w:val="28"/>
                <w:highlight w:val="none"/>
              </w:rPr>
            </w:pPr>
          </w:p>
        </w:tc>
        <w:tc>
          <w:tcPr>
            <w:tcW w:w="1386" w:type="dxa"/>
            <w:vAlign w:val="center"/>
          </w:tcPr>
          <w:p w14:paraId="1A367949">
            <w:pPr>
              <w:pStyle w:val="10"/>
              <w:jc w:val="center"/>
              <w:rPr>
                <w:rStyle w:val="21"/>
                <w:rFonts w:ascii="仿宋" w:hAnsi="仿宋" w:eastAsia="仿宋" w:cs="宋体"/>
                <w:b w:val="0"/>
                <w:kern w:val="0"/>
                <w:sz w:val="28"/>
                <w:highlight w:val="none"/>
              </w:rPr>
            </w:pPr>
          </w:p>
        </w:tc>
        <w:tc>
          <w:tcPr>
            <w:tcW w:w="1586" w:type="dxa"/>
            <w:vAlign w:val="center"/>
          </w:tcPr>
          <w:p w14:paraId="271A867D">
            <w:pPr>
              <w:pStyle w:val="10"/>
              <w:jc w:val="center"/>
              <w:rPr>
                <w:rStyle w:val="21"/>
                <w:rFonts w:ascii="仿宋" w:hAnsi="仿宋" w:eastAsia="仿宋" w:cs="宋体"/>
                <w:b w:val="0"/>
                <w:kern w:val="0"/>
                <w:sz w:val="28"/>
                <w:highlight w:val="none"/>
              </w:rPr>
            </w:pPr>
          </w:p>
        </w:tc>
        <w:tc>
          <w:tcPr>
            <w:tcW w:w="1586" w:type="dxa"/>
            <w:vAlign w:val="center"/>
          </w:tcPr>
          <w:p w14:paraId="0B8B375D">
            <w:pPr>
              <w:pStyle w:val="10"/>
              <w:jc w:val="center"/>
              <w:rPr>
                <w:rStyle w:val="21"/>
                <w:rFonts w:ascii="仿宋" w:hAnsi="仿宋" w:eastAsia="仿宋" w:cs="宋体"/>
                <w:b w:val="0"/>
                <w:kern w:val="0"/>
                <w:sz w:val="28"/>
                <w:highlight w:val="none"/>
              </w:rPr>
            </w:pPr>
          </w:p>
        </w:tc>
      </w:tr>
      <w:tr w14:paraId="73A0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54E1A48">
            <w:pPr>
              <w:pStyle w:val="10"/>
              <w:jc w:val="center"/>
              <w:rPr>
                <w:rStyle w:val="21"/>
                <w:rFonts w:ascii="仿宋" w:hAnsi="仿宋" w:eastAsia="仿宋" w:cs="宋体"/>
                <w:b w:val="0"/>
                <w:kern w:val="0"/>
                <w:sz w:val="28"/>
                <w:highlight w:val="none"/>
              </w:rPr>
            </w:pPr>
          </w:p>
        </w:tc>
        <w:tc>
          <w:tcPr>
            <w:tcW w:w="1586" w:type="dxa"/>
            <w:vAlign w:val="center"/>
          </w:tcPr>
          <w:p w14:paraId="774A0E01">
            <w:pPr>
              <w:pStyle w:val="10"/>
              <w:jc w:val="center"/>
              <w:rPr>
                <w:rStyle w:val="21"/>
                <w:rFonts w:ascii="仿宋" w:hAnsi="仿宋" w:eastAsia="仿宋" w:cs="宋体"/>
                <w:b w:val="0"/>
                <w:kern w:val="0"/>
                <w:sz w:val="28"/>
                <w:highlight w:val="none"/>
              </w:rPr>
            </w:pPr>
          </w:p>
        </w:tc>
        <w:tc>
          <w:tcPr>
            <w:tcW w:w="1786" w:type="dxa"/>
            <w:vAlign w:val="center"/>
          </w:tcPr>
          <w:p w14:paraId="1E11DC29">
            <w:pPr>
              <w:pStyle w:val="10"/>
              <w:jc w:val="center"/>
              <w:rPr>
                <w:rStyle w:val="21"/>
                <w:rFonts w:ascii="仿宋" w:hAnsi="仿宋" w:eastAsia="仿宋" w:cs="宋体"/>
                <w:b w:val="0"/>
                <w:kern w:val="0"/>
                <w:sz w:val="28"/>
                <w:highlight w:val="none"/>
              </w:rPr>
            </w:pPr>
          </w:p>
        </w:tc>
        <w:tc>
          <w:tcPr>
            <w:tcW w:w="1386" w:type="dxa"/>
            <w:vAlign w:val="center"/>
          </w:tcPr>
          <w:p w14:paraId="7392A931">
            <w:pPr>
              <w:pStyle w:val="10"/>
              <w:jc w:val="center"/>
              <w:rPr>
                <w:rStyle w:val="21"/>
                <w:rFonts w:ascii="仿宋" w:hAnsi="仿宋" w:eastAsia="仿宋" w:cs="宋体"/>
                <w:b w:val="0"/>
                <w:kern w:val="0"/>
                <w:sz w:val="28"/>
                <w:highlight w:val="none"/>
              </w:rPr>
            </w:pPr>
          </w:p>
        </w:tc>
        <w:tc>
          <w:tcPr>
            <w:tcW w:w="1586" w:type="dxa"/>
            <w:vAlign w:val="center"/>
          </w:tcPr>
          <w:p w14:paraId="7C40C21C">
            <w:pPr>
              <w:pStyle w:val="10"/>
              <w:jc w:val="center"/>
              <w:rPr>
                <w:rStyle w:val="21"/>
                <w:rFonts w:ascii="仿宋" w:hAnsi="仿宋" w:eastAsia="仿宋" w:cs="宋体"/>
                <w:b w:val="0"/>
                <w:kern w:val="0"/>
                <w:sz w:val="28"/>
                <w:highlight w:val="none"/>
              </w:rPr>
            </w:pPr>
          </w:p>
        </w:tc>
        <w:tc>
          <w:tcPr>
            <w:tcW w:w="1586" w:type="dxa"/>
            <w:vAlign w:val="center"/>
          </w:tcPr>
          <w:p w14:paraId="10639110">
            <w:pPr>
              <w:pStyle w:val="10"/>
              <w:jc w:val="center"/>
              <w:rPr>
                <w:rStyle w:val="21"/>
                <w:rFonts w:ascii="仿宋" w:hAnsi="仿宋" w:eastAsia="仿宋" w:cs="宋体"/>
                <w:b w:val="0"/>
                <w:kern w:val="0"/>
                <w:sz w:val="28"/>
                <w:highlight w:val="none"/>
              </w:rPr>
            </w:pPr>
          </w:p>
        </w:tc>
      </w:tr>
      <w:tr w14:paraId="3030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91F387A">
            <w:pPr>
              <w:pStyle w:val="10"/>
              <w:jc w:val="center"/>
              <w:rPr>
                <w:rStyle w:val="21"/>
                <w:rFonts w:ascii="仿宋" w:hAnsi="仿宋" w:eastAsia="仿宋" w:cs="宋体"/>
                <w:b w:val="0"/>
                <w:kern w:val="0"/>
                <w:sz w:val="28"/>
                <w:highlight w:val="none"/>
              </w:rPr>
            </w:pPr>
          </w:p>
        </w:tc>
        <w:tc>
          <w:tcPr>
            <w:tcW w:w="1586" w:type="dxa"/>
            <w:vAlign w:val="center"/>
          </w:tcPr>
          <w:p w14:paraId="452AC5C7">
            <w:pPr>
              <w:pStyle w:val="10"/>
              <w:jc w:val="center"/>
              <w:rPr>
                <w:rStyle w:val="21"/>
                <w:rFonts w:ascii="仿宋" w:hAnsi="仿宋" w:eastAsia="仿宋" w:cs="宋体"/>
                <w:b w:val="0"/>
                <w:kern w:val="0"/>
                <w:sz w:val="28"/>
                <w:highlight w:val="none"/>
              </w:rPr>
            </w:pPr>
          </w:p>
        </w:tc>
        <w:tc>
          <w:tcPr>
            <w:tcW w:w="1786" w:type="dxa"/>
            <w:vAlign w:val="center"/>
          </w:tcPr>
          <w:p w14:paraId="0457FD09">
            <w:pPr>
              <w:pStyle w:val="10"/>
              <w:jc w:val="center"/>
              <w:rPr>
                <w:rStyle w:val="21"/>
                <w:rFonts w:ascii="仿宋" w:hAnsi="仿宋" w:eastAsia="仿宋" w:cs="宋体"/>
                <w:b w:val="0"/>
                <w:kern w:val="0"/>
                <w:sz w:val="28"/>
                <w:highlight w:val="none"/>
              </w:rPr>
            </w:pPr>
          </w:p>
        </w:tc>
        <w:tc>
          <w:tcPr>
            <w:tcW w:w="1386" w:type="dxa"/>
            <w:vAlign w:val="center"/>
          </w:tcPr>
          <w:p w14:paraId="4437487E">
            <w:pPr>
              <w:pStyle w:val="10"/>
              <w:jc w:val="center"/>
              <w:rPr>
                <w:rStyle w:val="21"/>
                <w:rFonts w:ascii="仿宋" w:hAnsi="仿宋" w:eastAsia="仿宋" w:cs="宋体"/>
                <w:b w:val="0"/>
                <w:kern w:val="0"/>
                <w:sz w:val="28"/>
                <w:highlight w:val="none"/>
              </w:rPr>
            </w:pPr>
          </w:p>
        </w:tc>
        <w:tc>
          <w:tcPr>
            <w:tcW w:w="1586" w:type="dxa"/>
            <w:vAlign w:val="center"/>
          </w:tcPr>
          <w:p w14:paraId="4B0E4F85">
            <w:pPr>
              <w:pStyle w:val="10"/>
              <w:jc w:val="center"/>
              <w:rPr>
                <w:rStyle w:val="21"/>
                <w:rFonts w:ascii="仿宋" w:hAnsi="仿宋" w:eastAsia="仿宋" w:cs="宋体"/>
                <w:b w:val="0"/>
                <w:kern w:val="0"/>
                <w:sz w:val="28"/>
                <w:highlight w:val="none"/>
              </w:rPr>
            </w:pPr>
          </w:p>
        </w:tc>
        <w:tc>
          <w:tcPr>
            <w:tcW w:w="1586" w:type="dxa"/>
            <w:vAlign w:val="center"/>
          </w:tcPr>
          <w:p w14:paraId="1DA69B67">
            <w:pPr>
              <w:pStyle w:val="10"/>
              <w:jc w:val="center"/>
              <w:rPr>
                <w:rStyle w:val="21"/>
                <w:rFonts w:ascii="仿宋" w:hAnsi="仿宋" w:eastAsia="仿宋" w:cs="宋体"/>
                <w:b w:val="0"/>
                <w:kern w:val="0"/>
                <w:sz w:val="28"/>
                <w:highlight w:val="none"/>
              </w:rPr>
            </w:pPr>
          </w:p>
        </w:tc>
      </w:tr>
      <w:tr w14:paraId="3E71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36AD033">
            <w:pPr>
              <w:pStyle w:val="10"/>
              <w:jc w:val="center"/>
              <w:rPr>
                <w:rStyle w:val="21"/>
                <w:rFonts w:ascii="仿宋" w:hAnsi="仿宋" w:eastAsia="仿宋" w:cs="宋体"/>
                <w:b w:val="0"/>
                <w:kern w:val="0"/>
                <w:sz w:val="28"/>
                <w:highlight w:val="none"/>
              </w:rPr>
            </w:pPr>
          </w:p>
        </w:tc>
        <w:tc>
          <w:tcPr>
            <w:tcW w:w="1586" w:type="dxa"/>
            <w:vAlign w:val="center"/>
          </w:tcPr>
          <w:p w14:paraId="487C6455">
            <w:pPr>
              <w:pStyle w:val="10"/>
              <w:jc w:val="center"/>
              <w:rPr>
                <w:rStyle w:val="21"/>
                <w:rFonts w:ascii="仿宋" w:hAnsi="仿宋" w:eastAsia="仿宋" w:cs="宋体"/>
                <w:b w:val="0"/>
                <w:kern w:val="0"/>
                <w:sz w:val="28"/>
                <w:highlight w:val="none"/>
              </w:rPr>
            </w:pPr>
          </w:p>
        </w:tc>
        <w:tc>
          <w:tcPr>
            <w:tcW w:w="1786" w:type="dxa"/>
            <w:vAlign w:val="center"/>
          </w:tcPr>
          <w:p w14:paraId="5D8C937B">
            <w:pPr>
              <w:pStyle w:val="10"/>
              <w:jc w:val="center"/>
              <w:rPr>
                <w:rStyle w:val="21"/>
                <w:rFonts w:ascii="仿宋" w:hAnsi="仿宋" w:eastAsia="仿宋" w:cs="宋体"/>
                <w:b w:val="0"/>
                <w:kern w:val="0"/>
                <w:sz w:val="28"/>
                <w:highlight w:val="none"/>
              </w:rPr>
            </w:pPr>
          </w:p>
        </w:tc>
        <w:tc>
          <w:tcPr>
            <w:tcW w:w="1386" w:type="dxa"/>
            <w:vAlign w:val="center"/>
          </w:tcPr>
          <w:p w14:paraId="22D72B7B">
            <w:pPr>
              <w:pStyle w:val="10"/>
              <w:jc w:val="center"/>
              <w:rPr>
                <w:rStyle w:val="21"/>
                <w:rFonts w:ascii="仿宋" w:hAnsi="仿宋" w:eastAsia="仿宋" w:cs="宋体"/>
                <w:b w:val="0"/>
                <w:kern w:val="0"/>
                <w:sz w:val="28"/>
                <w:highlight w:val="none"/>
              </w:rPr>
            </w:pPr>
          </w:p>
        </w:tc>
        <w:tc>
          <w:tcPr>
            <w:tcW w:w="1586" w:type="dxa"/>
            <w:vAlign w:val="center"/>
          </w:tcPr>
          <w:p w14:paraId="7288D897">
            <w:pPr>
              <w:pStyle w:val="10"/>
              <w:jc w:val="center"/>
              <w:rPr>
                <w:rStyle w:val="21"/>
                <w:rFonts w:ascii="仿宋" w:hAnsi="仿宋" w:eastAsia="仿宋" w:cs="宋体"/>
                <w:b w:val="0"/>
                <w:kern w:val="0"/>
                <w:sz w:val="28"/>
                <w:highlight w:val="none"/>
              </w:rPr>
            </w:pPr>
          </w:p>
        </w:tc>
        <w:tc>
          <w:tcPr>
            <w:tcW w:w="1586" w:type="dxa"/>
            <w:vAlign w:val="center"/>
          </w:tcPr>
          <w:p w14:paraId="61A37964">
            <w:pPr>
              <w:pStyle w:val="10"/>
              <w:jc w:val="center"/>
              <w:rPr>
                <w:rStyle w:val="21"/>
                <w:rFonts w:ascii="仿宋" w:hAnsi="仿宋" w:eastAsia="仿宋" w:cs="宋体"/>
                <w:b w:val="0"/>
                <w:kern w:val="0"/>
                <w:sz w:val="28"/>
                <w:highlight w:val="none"/>
              </w:rPr>
            </w:pPr>
          </w:p>
        </w:tc>
      </w:tr>
      <w:tr w14:paraId="18C0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24A874F">
            <w:pPr>
              <w:pStyle w:val="10"/>
              <w:jc w:val="center"/>
              <w:rPr>
                <w:rStyle w:val="21"/>
                <w:rFonts w:ascii="仿宋" w:hAnsi="仿宋" w:eastAsia="仿宋" w:cs="宋体"/>
                <w:b w:val="0"/>
                <w:kern w:val="0"/>
                <w:sz w:val="28"/>
                <w:highlight w:val="none"/>
              </w:rPr>
            </w:pPr>
          </w:p>
        </w:tc>
        <w:tc>
          <w:tcPr>
            <w:tcW w:w="1586" w:type="dxa"/>
            <w:vAlign w:val="center"/>
          </w:tcPr>
          <w:p w14:paraId="7638DCE1">
            <w:pPr>
              <w:pStyle w:val="10"/>
              <w:jc w:val="center"/>
              <w:rPr>
                <w:rStyle w:val="21"/>
                <w:rFonts w:ascii="仿宋" w:hAnsi="仿宋" w:eastAsia="仿宋" w:cs="宋体"/>
                <w:b w:val="0"/>
                <w:kern w:val="0"/>
                <w:sz w:val="28"/>
                <w:highlight w:val="none"/>
              </w:rPr>
            </w:pPr>
          </w:p>
        </w:tc>
        <w:tc>
          <w:tcPr>
            <w:tcW w:w="1786" w:type="dxa"/>
            <w:vAlign w:val="center"/>
          </w:tcPr>
          <w:p w14:paraId="5B0FAC3D">
            <w:pPr>
              <w:pStyle w:val="10"/>
              <w:jc w:val="center"/>
              <w:rPr>
                <w:rStyle w:val="21"/>
                <w:rFonts w:ascii="仿宋" w:hAnsi="仿宋" w:eastAsia="仿宋" w:cs="宋体"/>
                <w:b w:val="0"/>
                <w:kern w:val="0"/>
                <w:sz w:val="28"/>
                <w:highlight w:val="none"/>
              </w:rPr>
            </w:pPr>
          </w:p>
        </w:tc>
        <w:tc>
          <w:tcPr>
            <w:tcW w:w="1386" w:type="dxa"/>
            <w:vAlign w:val="center"/>
          </w:tcPr>
          <w:p w14:paraId="03C6DFD7">
            <w:pPr>
              <w:pStyle w:val="10"/>
              <w:jc w:val="center"/>
              <w:rPr>
                <w:rStyle w:val="21"/>
                <w:rFonts w:ascii="仿宋" w:hAnsi="仿宋" w:eastAsia="仿宋" w:cs="宋体"/>
                <w:b w:val="0"/>
                <w:kern w:val="0"/>
                <w:sz w:val="28"/>
                <w:highlight w:val="none"/>
              </w:rPr>
            </w:pPr>
          </w:p>
        </w:tc>
        <w:tc>
          <w:tcPr>
            <w:tcW w:w="1586" w:type="dxa"/>
            <w:vAlign w:val="center"/>
          </w:tcPr>
          <w:p w14:paraId="704A1960">
            <w:pPr>
              <w:pStyle w:val="10"/>
              <w:jc w:val="center"/>
              <w:rPr>
                <w:rStyle w:val="21"/>
                <w:rFonts w:ascii="仿宋" w:hAnsi="仿宋" w:eastAsia="仿宋" w:cs="宋体"/>
                <w:b w:val="0"/>
                <w:kern w:val="0"/>
                <w:sz w:val="28"/>
                <w:highlight w:val="none"/>
              </w:rPr>
            </w:pPr>
          </w:p>
        </w:tc>
        <w:tc>
          <w:tcPr>
            <w:tcW w:w="1586" w:type="dxa"/>
            <w:vAlign w:val="center"/>
          </w:tcPr>
          <w:p w14:paraId="2A4BB687">
            <w:pPr>
              <w:pStyle w:val="10"/>
              <w:jc w:val="center"/>
              <w:rPr>
                <w:rStyle w:val="21"/>
                <w:rFonts w:ascii="仿宋" w:hAnsi="仿宋" w:eastAsia="仿宋" w:cs="宋体"/>
                <w:b w:val="0"/>
                <w:kern w:val="0"/>
                <w:sz w:val="28"/>
                <w:highlight w:val="none"/>
              </w:rPr>
            </w:pPr>
          </w:p>
        </w:tc>
      </w:tr>
      <w:tr w14:paraId="6A74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5494EFB">
            <w:pPr>
              <w:pStyle w:val="10"/>
              <w:jc w:val="center"/>
              <w:rPr>
                <w:rStyle w:val="21"/>
                <w:rFonts w:ascii="仿宋" w:hAnsi="仿宋" w:eastAsia="仿宋" w:cs="宋体"/>
                <w:b w:val="0"/>
                <w:kern w:val="0"/>
                <w:sz w:val="28"/>
                <w:highlight w:val="none"/>
              </w:rPr>
            </w:pPr>
          </w:p>
        </w:tc>
        <w:tc>
          <w:tcPr>
            <w:tcW w:w="1586" w:type="dxa"/>
            <w:vAlign w:val="center"/>
          </w:tcPr>
          <w:p w14:paraId="6137B4E8">
            <w:pPr>
              <w:pStyle w:val="10"/>
              <w:jc w:val="center"/>
              <w:rPr>
                <w:rStyle w:val="21"/>
                <w:rFonts w:ascii="仿宋" w:hAnsi="仿宋" w:eastAsia="仿宋" w:cs="宋体"/>
                <w:b w:val="0"/>
                <w:kern w:val="0"/>
                <w:sz w:val="28"/>
                <w:highlight w:val="none"/>
              </w:rPr>
            </w:pPr>
          </w:p>
        </w:tc>
        <w:tc>
          <w:tcPr>
            <w:tcW w:w="1786" w:type="dxa"/>
            <w:vAlign w:val="center"/>
          </w:tcPr>
          <w:p w14:paraId="088CBA03">
            <w:pPr>
              <w:pStyle w:val="10"/>
              <w:jc w:val="center"/>
              <w:rPr>
                <w:rStyle w:val="21"/>
                <w:rFonts w:ascii="仿宋" w:hAnsi="仿宋" w:eastAsia="仿宋" w:cs="宋体"/>
                <w:b w:val="0"/>
                <w:kern w:val="0"/>
                <w:sz w:val="28"/>
                <w:highlight w:val="none"/>
              </w:rPr>
            </w:pPr>
          </w:p>
        </w:tc>
        <w:tc>
          <w:tcPr>
            <w:tcW w:w="1386" w:type="dxa"/>
            <w:vAlign w:val="center"/>
          </w:tcPr>
          <w:p w14:paraId="45867370">
            <w:pPr>
              <w:pStyle w:val="10"/>
              <w:jc w:val="center"/>
              <w:rPr>
                <w:rStyle w:val="21"/>
                <w:rFonts w:ascii="仿宋" w:hAnsi="仿宋" w:eastAsia="仿宋" w:cs="宋体"/>
                <w:b w:val="0"/>
                <w:kern w:val="0"/>
                <w:sz w:val="28"/>
                <w:highlight w:val="none"/>
              </w:rPr>
            </w:pPr>
          </w:p>
        </w:tc>
        <w:tc>
          <w:tcPr>
            <w:tcW w:w="1586" w:type="dxa"/>
            <w:vAlign w:val="center"/>
          </w:tcPr>
          <w:p w14:paraId="0B3DC5BC">
            <w:pPr>
              <w:pStyle w:val="10"/>
              <w:jc w:val="center"/>
              <w:rPr>
                <w:rStyle w:val="21"/>
                <w:rFonts w:ascii="仿宋" w:hAnsi="仿宋" w:eastAsia="仿宋" w:cs="宋体"/>
                <w:b w:val="0"/>
                <w:kern w:val="0"/>
                <w:sz w:val="28"/>
                <w:highlight w:val="none"/>
              </w:rPr>
            </w:pPr>
          </w:p>
        </w:tc>
        <w:tc>
          <w:tcPr>
            <w:tcW w:w="1586" w:type="dxa"/>
            <w:vAlign w:val="center"/>
          </w:tcPr>
          <w:p w14:paraId="2CC2D45F">
            <w:pPr>
              <w:pStyle w:val="10"/>
              <w:jc w:val="center"/>
              <w:rPr>
                <w:rStyle w:val="21"/>
                <w:rFonts w:ascii="仿宋" w:hAnsi="仿宋" w:eastAsia="仿宋" w:cs="宋体"/>
                <w:b w:val="0"/>
                <w:kern w:val="0"/>
                <w:sz w:val="28"/>
                <w:highlight w:val="none"/>
              </w:rPr>
            </w:pPr>
          </w:p>
        </w:tc>
      </w:tr>
      <w:tr w14:paraId="7C61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A1D0731">
            <w:pPr>
              <w:pStyle w:val="10"/>
              <w:jc w:val="center"/>
              <w:rPr>
                <w:rStyle w:val="21"/>
                <w:rFonts w:ascii="仿宋" w:hAnsi="仿宋" w:eastAsia="仿宋" w:cs="宋体"/>
                <w:b w:val="0"/>
                <w:kern w:val="0"/>
                <w:sz w:val="28"/>
                <w:highlight w:val="none"/>
              </w:rPr>
            </w:pPr>
          </w:p>
        </w:tc>
        <w:tc>
          <w:tcPr>
            <w:tcW w:w="1586" w:type="dxa"/>
            <w:vAlign w:val="center"/>
          </w:tcPr>
          <w:p w14:paraId="000F8E37">
            <w:pPr>
              <w:pStyle w:val="10"/>
              <w:jc w:val="center"/>
              <w:rPr>
                <w:rStyle w:val="21"/>
                <w:rFonts w:ascii="仿宋" w:hAnsi="仿宋" w:eastAsia="仿宋" w:cs="宋体"/>
                <w:b w:val="0"/>
                <w:kern w:val="0"/>
                <w:sz w:val="28"/>
                <w:highlight w:val="none"/>
              </w:rPr>
            </w:pPr>
          </w:p>
        </w:tc>
        <w:tc>
          <w:tcPr>
            <w:tcW w:w="1786" w:type="dxa"/>
            <w:vAlign w:val="center"/>
          </w:tcPr>
          <w:p w14:paraId="3A893213">
            <w:pPr>
              <w:pStyle w:val="10"/>
              <w:jc w:val="center"/>
              <w:rPr>
                <w:rStyle w:val="21"/>
                <w:rFonts w:ascii="仿宋" w:hAnsi="仿宋" w:eastAsia="仿宋" w:cs="宋体"/>
                <w:b w:val="0"/>
                <w:kern w:val="0"/>
                <w:sz w:val="28"/>
                <w:highlight w:val="none"/>
              </w:rPr>
            </w:pPr>
          </w:p>
        </w:tc>
        <w:tc>
          <w:tcPr>
            <w:tcW w:w="1386" w:type="dxa"/>
            <w:vAlign w:val="center"/>
          </w:tcPr>
          <w:p w14:paraId="2FD173A7">
            <w:pPr>
              <w:pStyle w:val="10"/>
              <w:jc w:val="center"/>
              <w:rPr>
                <w:rStyle w:val="21"/>
                <w:rFonts w:ascii="仿宋" w:hAnsi="仿宋" w:eastAsia="仿宋" w:cs="宋体"/>
                <w:b w:val="0"/>
                <w:kern w:val="0"/>
                <w:sz w:val="28"/>
                <w:highlight w:val="none"/>
              </w:rPr>
            </w:pPr>
          </w:p>
        </w:tc>
        <w:tc>
          <w:tcPr>
            <w:tcW w:w="1586" w:type="dxa"/>
            <w:vAlign w:val="center"/>
          </w:tcPr>
          <w:p w14:paraId="1C5FED5B">
            <w:pPr>
              <w:pStyle w:val="10"/>
              <w:jc w:val="center"/>
              <w:rPr>
                <w:rStyle w:val="21"/>
                <w:rFonts w:ascii="仿宋" w:hAnsi="仿宋" w:eastAsia="仿宋" w:cs="宋体"/>
                <w:b w:val="0"/>
                <w:kern w:val="0"/>
                <w:sz w:val="28"/>
                <w:highlight w:val="none"/>
              </w:rPr>
            </w:pPr>
          </w:p>
        </w:tc>
        <w:tc>
          <w:tcPr>
            <w:tcW w:w="1586" w:type="dxa"/>
            <w:vAlign w:val="center"/>
          </w:tcPr>
          <w:p w14:paraId="49AE3CAD">
            <w:pPr>
              <w:pStyle w:val="10"/>
              <w:jc w:val="center"/>
              <w:rPr>
                <w:rStyle w:val="21"/>
                <w:rFonts w:ascii="仿宋" w:hAnsi="仿宋" w:eastAsia="仿宋" w:cs="宋体"/>
                <w:b w:val="0"/>
                <w:kern w:val="0"/>
                <w:sz w:val="28"/>
                <w:highlight w:val="none"/>
              </w:rPr>
            </w:pPr>
          </w:p>
        </w:tc>
      </w:tr>
      <w:tr w14:paraId="4085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0BB9E76">
            <w:pPr>
              <w:pStyle w:val="10"/>
              <w:jc w:val="center"/>
              <w:rPr>
                <w:rStyle w:val="21"/>
                <w:rFonts w:ascii="仿宋" w:hAnsi="仿宋" w:eastAsia="仿宋" w:cs="宋体"/>
                <w:b w:val="0"/>
                <w:kern w:val="0"/>
                <w:sz w:val="28"/>
                <w:highlight w:val="none"/>
              </w:rPr>
            </w:pPr>
          </w:p>
        </w:tc>
        <w:tc>
          <w:tcPr>
            <w:tcW w:w="1586" w:type="dxa"/>
            <w:vAlign w:val="center"/>
          </w:tcPr>
          <w:p w14:paraId="0FCE5E50">
            <w:pPr>
              <w:pStyle w:val="10"/>
              <w:jc w:val="center"/>
              <w:rPr>
                <w:rStyle w:val="21"/>
                <w:rFonts w:ascii="仿宋" w:hAnsi="仿宋" w:eastAsia="仿宋" w:cs="宋体"/>
                <w:b w:val="0"/>
                <w:kern w:val="0"/>
                <w:sz w:val="28"/>
                <w:highlight w:val="none"/>
              </w:rPr>
            </w:pPr>
          </w:p>
        </w:tc>
        <w:tc>
          <w:tcPr>
            <w:tcW w:w="1786" w:type="dxa"/>
            <w:vAlign w:val="center"/>
          </w:tcPr>
          <w:p w14:paraId="3C2B0529">
            <w:pPr>
              <w:pStyle w:val="10"/>
              <w:jc w:val="center"/>
              <w:rPr>
                <w:rStyle w:val="21"/>
                <w:rFonts w:ascii="仿宋" w:hAnsi="仿宋" w:eastAsia="仿宋" w:cs="宋体"/>
                <w:b w:val="0"/>
                <w:kern w:val="0"/>
                <w:sz w:val="28"/>
                <w:highlight w:val="none"/>
              </w:rPr>
            </w:pPr>
          </w:p>
        </w:tc>
        <w:tc>
          <w:tcPr>
            <w:tcW w:w="1386" w:type="dxa"/>
            <w:vAlign w:val="center"/>
          </w:tcPr>
          <w:p w14:paraId="7556C33F">
            <w:pPr>
              <w:pStyle w:val="10"/>
              <w:jc w:val="center"/>
              <w:rPr>
                <w:rStyle w:val="21"/>
                <w:rFonts w:ascii="仿宋" w:hAnsi="仿宋" w:eastAsia="仿宋" w:cs="宋体"/>
                <w:b w:val="0"/>
                <w:kern w:val="0"/>
                <w:sz w:val="28"/>
                <w:highlight w:val="none"/>
              </w:rPr>
            </w:pPr>
          </w:p>
        </w:tc>
        <w:tc>
          <w:tcPr>
            <w:tcW w:w="1586" w:type="dxa"/>
            <w:vAlign w:val="center"/>
          </w:tcPr>
          <w:p w14:paraId="09E7BCD8">
            <w:pPr>
              <w:pStyle w:val="10"/>
              <w:jc w:val="center"/>
              <w:rPr>
                <w:rStyle w:val="21"/>
                <w:rFonts w:ascii="仿宋" w:hAnsi="仿宋" w:eastAsia="仿宋" w:cs="宋体"/>
                <w:b w:val="0"/>
                <w:kern w:val="0"/>
                <w:sz w:val="28"/>
                <w:highlight w:val="none"/>
              </w:rPr>
            </w:pPr>
          </w:p>
        </w:tc>
        <w:tc>
          <w:tcPr>
            <w:tcW w:w="1586" w:type="dxa"/>
            <w:vAlign w:val="center"/>
          </w:tcPr>
          <w:p w14:paraId="550289BA">
            <w:pPr>
              <w:pStyle w:val="10"/>
              <w:jc w:val="center"/>
              <w:rPr>
                <w:rStyle w:val="21"/>
                <w:rFonts w:ascii="仿宋" w:hAnsi="仿宋" w:eastAsia="仿宋" w:cs="宋体"/>
                <w:b w:val="0"/>
                <w:kern w:val="0"/>
                <w:sz w:val="28"/>
                <w:highlight w:val="none"/>
              </w:rPr>
            </w:pPr>
          </w:p>
        </w:tc>
      </w:tr>
      <w:tr w14:paraId="0EE8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AAD217E">
            <w:pPr>
              <w:pStyle w:val="10"/>
              <w:jc w:val="center"/>
              <w:rPr>
                <w:rStyle w:val="21"/>
                <w:rFonts w:ascii="仿宋" w:hAnsi="仿宋" w:eastAsia="仿宋" w:cs="宋体"/>
                <w:b w:val="0"/>
                <w:kern w:val="0"/>
                <w:sz w:val="28"/>
                <w:highlight w:val="none"/>
              </w:rPr>
            </w:pPr>
          </w:p>
        </w:tc>
        <w:tc>
          <w:tcPr>
            <w:tcW w:w="1586" w:type="dxa"/>
            <w:vAlign w:val="center"/>
          </w:tcPr>
          <w:p w14:paraId="40BD418F">
            <w:pPr>
              <w:pStyle w:val="10"/>
              <w:jc w:val="center"/>
              <w:rPr>
                <w:rStyle w:val="21"/>
                <w:rFonts w:ascii="仿宋" w:hAnsi="仿宋" w:eastAsia="仿宋" w:cs="宋体"/>
                <w:b w:val="0"/>
                <w:kern w:val="0"/>
                <w:sz w:val="28"/>
                <w:highlight w:val="none"/>
              </w:rPr>
            </w:pPr>
          </w:p>
        </w:tc>
        <w:tc>
          <w:tcPr>
            <w:tcW w:w="1786" w:type="dxa"/>
            <w:vAlign w:val="center"/>
          </w:tcPr>
          <w:p w14:paraId="223A3DB3">
            <w:pPr>
              <w:pStyle w:val="10"/>
              <w:jc w:val="center"/>
              <w:rPr>
                <w:rStyle w:val="21"/>
                <w:rFonts w:ascii="仿宋" w:hAnsi="仿宋" w:eastAsia="仿宋" w:cs="宋体"/>
                <w:b w:val="0"/>
                <w:kern w:val="0"/>
                <w:sz w:val="28"/>
                <w:highlight w:val="none"/>
              </w:rPr>
            </w:pPr>
          </w:p>
        </w:tc>
        <w:tc>
          <w:tcPr>
            <w:tcW w:w="1386" w:type="dxa"/>
            <w:vAlign w:val="center"/>
          </w:tcPr>
          <w:p w14:paraId="1A81DF7C">
            <w:pPr>
              <w:pStyle w:val="10"/>
              <w:jc w:val="center"/>
              <w:rPr>
                <w:rStyle w:val="21"/>
                <w:rFonts w:ascii="仿宋" w:hAnsi="仿宋" w:eastAsia="仿宋" w:cs="宋体"/>
                <w:b w:val="0"/>
                <w:kern w:val="0"/>
                <w:sz w:val="28"/>
                <w:highlight w:val="none"/>
              </w:rPr>
            </w:pPr>
          </w:p>
        </w:tc>
        <w:tc>
          <w:tcPr>
            <w:tcW w:w="1586" w:type="dxa"/>
            <w:vAlign w:val="center"/>
          </w:tcPr>
          <w:p w14:paraId="2F2EBEF0">
            <w:pPr>
              <w:pStyle w:val="10"/>
              <w:jc w:val="center"/>
              <w:rPr>
                <w:rStyle w:val="21"/>
                <w:rFonts w:ascii="仿宋" w:hAnsi="仿宋" w:eastAsia="仿宋" w:cs="宋体"/>
                <w:b w:val="0"/>
                <w:kern w:val="0"/>
                <w:sz w:val="28"/>
                <w:highlight w:val="none"/>
              </w:rPr>
            </w:pPr>
          </w:p>
        </w:tc>
        <w:tc>
          <w:tcPr>
            <w:tcW w:w="1586" w:type="dxa"/>
            <w:vAlign w:val="center"/>
          </w:tcPr>
          <w:p w14:paraId="2EDA41BD">
            <w:pPr>
              <w:pStyle w:val="10"/>
              <w:jc w:val="center"/>
              <w:rPr>
                <w:rStyle w:val="21"/>
                <w:rFonts w:ascii="仿宋" w:hAnsi="仿宋" w:eastAsia="仿宋" w:cs="宋体"/>
                <w:b w:val="0"/>
                <w:kern w:val="0"/>
                <w:sz w:val="28"/>
                <w:highlight w:val="none"/>
              </w:rPr>
            </w:pPr>
          </w:p>
        </w:tc>
      </w:tr>
      <w:tr w14:paraId="278F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D627193">
            <w:pPr>
              <w:pStyle w:val="10"/>
              <w:jc w:val="center"/>
              <w:rPr>
                <w:rStyle w:val="21"/>
                <w:rFonts w:ascii="仿宋" w:hAnsi="仿宋" w:eastAsia="仿宋" w:cs="宋体"/>
                <w:b w:val="0"/>
                <w:kern w:val="0"/>
                <w:sz w:val="28"/>
                <w:highlight w:val="none"/>
              </w:rPr>
            </w:pPr>
          </w:p>
        </w:tc>
        <w:tc>
          <w:tcPr>
            <w:tcW w:w="1586" w:type="dxa"/>
            <w:vAlign w:val="center"/>
          </w:tcPr>
          <w:p w14:paraId="6DB7C8F1">
            <w:pPr>
              <w:pStyle w:val="10"/>
              <w:jc w:val="center"/>
              <w:rPr>
                <w:rStyle w:val="21"/>
                <w:rFonts w:ascii="仿宋" w:hAnsi="仿宋" w:eastAsia="仿宋" w:cs="宋体"/>
                <w:b w:val="0"/>
                <w:kern w:val="0"/>
                <w:sz w:val="28"/>
                <w:highlight w:val="none"/>
              </w:rPr>
            </w:pPr>
          </w:p>
        </w:tc>
        <w:tc>
          <w:tcPr>
            <w:tcW w:w="1786" w:type="dxa"/>
            <w:vAlign w:val="center"/>
          </w:tcPr>
          <w:p w14:paraId="2A21408D">
            <w:pPr>
              <w:pStyle w:val="10"/>
              <w:jc w:val="center"/>
              <w:rPr>
                <w:rStyle w:val="21"/>
                <w:rFonts w:ascii="仿宋" w:hAnsi="仿宋" w:eastAsia="仿宋" w:cs="宋体"/>
                <w:b w:val="0"/>
                <w:kern w:val="0"/>
                <w:sz w:val="28"/>
                <w:highlight w:val="none"/>
              </w:rPr>
            </w:pPr>
          </w:p>
        </w:tc>
        <w:tc>
          <w:tcPr>
            <w:tcW w:w="1386" w:type="dxa"/>
            <w:vAlign w:val="center"/>
          </w:tcPr>
          <w:p w14:paraId="71953FF3">
            <w:pPr>
              <w:pStyle w:val="10"/>
              <w:jc w:val="center"/>
              <w:rPr>
                <w:rStyle w:val="21"/>
                <w:rFonts w:ascii="仿宋" w:hAnsi="仿宋" w:eastAsia="仿宋" w:cs="宋体"/>
                <w:b w:val="0"/>
                <w:kern w:val="0"/>
                <w:sz w:val="28"/>
                <w:highlight w:val="none"/>
              </w:rPr>
            </w:pPr>
          </w:p>
        </w:tc>
        <w:tc>
          <w:tcPr>
            <w:tcW w:w="1586" w:type="dxa"/>
            <w:vAlign w:val="center"/>
          </w:tcPr>
          <w:p w14:paraId="12BB9A61">
            <w:pPr>
              <w:pStyle w:val="10"/>
              <w:jc w:val="center"/>
              <w:rPr>
                <w:rStyle w:val="21"/>
                <w:rFonts w:ascii="仿宋" w:hAnsi="仿宋" w:eastAsia="仿宋" w:cs="宋体"/>
                <w:b w:val="0"/>
                <w:kern w:val="0"/>
                <w:sz w:val="28"/>
                <w:highlight w:val="none"/>
              </w:rPr>
            </w:pPr>
          </w:p>
        </w:tc>
        <w:tc>
          <w:tcPr>
            <w:tcW w:w="1586" w:type="dxa"/>
            <w:vAlign w:val="center"/>
          </w:tcPr>
          <w:p w14:paraId="2A2B42C9">
            <w:pPr>
              <w:pStyle w:val="10"/>
              <w:jc w:val="center"/>
              <w:rPr>
                <w:rStyle w:val="21"/>
                <w:rFonts w:ascii="仿宋" w:hAnsi="仿宋" w:eastAsia="仿宋" w:cs="宋体"/>
                <w:b w:val="0"/>
                <w:kern w:val="0"/>
                <w:sz w:val="28"/>
                <w:highlight w:val="none"/>
              </w:rPr>
            </w:pPr>
          </w:p>
        </w:tc>
      </w:tr>
      <w:tr w14:paraId="11C1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84B4910">
            <w:pPr>
              <w:pStyle w:val="10"/>
              <w:jc w:val="center"/>
              <w:rPr>
                <w:rStyle w:val="21"/>
                <w:rFonts w:ascii="仿宋" w:hAnsi="仿宋" w:eastAsia="仿宋" w:cs="宋体"/>
                <w:b w:val="0"/>
                <w:kern w:val="0"/>
                <w:sz w:val="28"/>
                <w:highlight w:val="none"/>
              </w:rPr>
            </w:pPr>
          </w:p>
        </w:tc>
        <w:tc>
          <w:tcPr>
            <w:tcW w:w="1586" w:type="dxa"/>
            <w:vAlign w:val="center"/>
          </w:tcPr>
          <w:p w14:paraId="264924DC">
            <w:pPr>
              <w:pStyle w:val="10"/>
              <w:jc w:val="center"/>
              <w:rPr>
                <w:rStyle w:val="21"/>
                <w:rFonts w:ascii="仿宋" w:hAnsi="仿宋" w:eastAsia="仿宋" w:cs="宋体"/>
                <w:b w:val="0"/>
                <w:kern w:val="0"/>
                <w:sz w:val="28"/>
                <w:highlight w:val="none"/>
              </w:rPr>
            </w:pPr>
          </w:p>
        </w:tc>
        <w:tc>
          <w:tcPr>
            <w:tcW w:w="1786" w:type="dxa"/>
            <w:vAlign w:val="center"/>
          </w:tcPr>
          <w:p w14:paraId="28C95232">
            <w:pPr>
              <w:pStyle w:val="10"/>
              <w:jc w:val="center"/>
              <w:rPr>
                <w:rStyle w:val="21"/>
                <w:rFonts w:ascii="仿宋" w:hAnsi="仿宋" w:eastAsia="仿宋" w:cs="宋体"/>
                <w:b w:val="0"/>
                <w:kern w:val="0"/>
                <w:sz w:val="28"/>
                <w:highlight w:val="none"/>
              </w:rPr>
            </w:pPr>
          </w:p>
        </w:tc>
        <w:tc>
          <w:tcPr>
            <w:tcW w:w="1386" w:type="dxa"/>
            <w:vAlign w:val="center"/>
          </w:tcPr>
          <w:p w14:paraId="6B5519C6">
            <w:pPr>
              <w:pStyle w:val="10"/>
              <w:jc w:val="center"/>
              <w:rPr>
                <w:rStyle w:val="21"/>
                <w:rFonts w:ascii="仿宋" w:hAnsi="仿宋" w:eastAsia="仿宋" w:cs="宋体"/>
                <w:b w:val="0"/>
                <w:kern w:val="0"/>
                <w:sz w:val="28"/>
                <w:highlight w:val="none"/>
              </w:rPr>
            </w:pPr>
          </w:p>
        </w:tc>
        <w:tc>
          <w:tcPr>
            <w:tcW w:w="1586" w:type="dxa"/>
            <w:vAlign w:val="center"/>
          </w:tcPr>
          <w:p w14:paraId="1A3EBBBF">
            <w:pPr>
              <w:pStyle w:val="10"/>
              <w:jc w:val="center"/>
              <w:rPr>
                <w:rStyle w:val="21"/>
                <w:rFonts w:ascii="仿宋" w:hAnsi="仿宋" w:eastAsia="仿宋" w:cs="宋体"/>
                <w:b w:val="0"/>
                <w:kern w:val="0"/>
                <w:sz w:val="28"/>
                <w:highlight w:val="none"/>
              </w:rPr>
            </w:pPr>
          </w:p>
        </w:tc>
        <w:tc>
          <w:tcPr>
            <w:tcW w:w="1586" w:type="dxa"/>
            <w:vAlign w:val="center"/>
          </w:tcPr>
          <w:p w14:paraId="4B5C29A9">
            <w:pPr>
              <w:pStyle w:val="10"/>
              <w:jc w:val="center"/>
              <w:rPr>
                <w:rStyle w:val="21"/>
                <w:rFonts w:ascii="仿宋" w:hAnsi="仿宋" w:eastAsia="仿宋" w:cs="宋体"/>
                <w:b w:val="0"/>
                <w:kern w:val="0"/>
                <w:sz w:val="28"/>
                <w:highlight w:val="none"/>
              </w:rPr>
            </w:pPr>
          </w:p>
        </w:tc>
      </w:tr>
    </w:tbl>
    <w:p w14:paraId="76A193FB">
      <w:pPr>
        <w:pStyle w:val="10"/>
        <w:jc w:val="left"/>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注：</w:t>
      </w:r>
      <w:r>
        <w:rPr>
          <w:rFonts w:hint="eastAsia" w:ascii="仿宋" w:hAnsi="仿宋" w:eastAsia="仿宋"/>
          <w:color w:val="000000"/>
          <w:sz w:val="28"/>
          <w:szCs w:val="28"/>
          <w:highlight w:val="none"/>
        </w:rPr>
        <w:t>格式可自行扩展。</w:t>
      </w:r>
    </w:p>
    <w:p w14:paraId="62DFE2D1">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03C85F72">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70E28CDA">
      <w:pPr>
        <w:pStyle w:val="10"/>
        <w:jc w:val="right"/>
        <w:rPr>
          <w:rStyle w:val="21"/>
          <w:rFonts w:hint="eastAsia" w:ascii="仿宋" w:hAnsi="仿宋" w:eastAsia="仿宋" w:cs="宋体"/>
          <w:b w:val="0"/>
          <w:kern w:val="0"/>
          <w:sz w:val="28"/>
          <w:highlight w:val="none"/>
        </w:rPr>
      </w:pPr>
    </w:p>
    <w:p w14:paraId="04E57DA4">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14:paraId="6AE95461">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bCs w:val="0"/>
          <w:kern w:val="0"/>
          <w:sz w:val="28"/>
          <w:szCs w:val="21"/>
          <w:highlight w:val="none"/>
          <w:lang w:val="en-US" w:eastAsia="zh-CN"/>
        </w:rPr>
      </w:pPr>
    </w:p>
    <w:p w14:paraId="7546B71E">
      <w:pPr>
        <w:spacing w:line="360" w:lineRule="auto"/>
        <w:rPr>
          <w:rFonts w:hint="eastAsia"/>
          <w:color w:val="000000"/>
          <w:sz w:val="30"/>
          <w:szCs w:val="30"/>
          <w:highlight w:val="none"/>
        </w:rPr>
      </w:pPr>
      <w:r>
        <w:rPr>
          <w:rStyle w:val="21"/>
          <w:rFonts w:hint="eastAsia" w:ascii="仿宋" w:hAnsi="仿宋" w:eastAsia="仿宋" w:cs="宋体"/>
          <w:b/>
          <w:bCs w:val="0"/>
          <w:kern w:val="0"/>
          <w:sz w:val="28"/>
          <w:szCs w:val="21"/>
          <w:highlight w:val="none"/>
          <w:lang w:val="en-US" w:eastAsia="zh-CN"/>
        </w:rPr>
        <w:t>附件九：</w:t>
      </w:r>
    </w:p>
    <w:bookmarkEnd w:id="30"/>
    <w:bookmarkEnd w:id="31"/>
    <w:bookmarkEnd w:id="32"/>
    <w:bookmarkEnd w:id="33"/>
    <w:p w14:paraId="65B41C25">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承诺书</w:t>
      </w:r>
    </w:p>
    <w:p w14:paraId="7AC1A9D3">
      <w:pPr>
        <w:pStyle w:val="10"/>
        <w:jc w:val="center"/>
        <w:rPr>
          <w:rStyle w:val="21"/>
          <w:rFonts w:ascii="仿宋" w:hAnsi="仿宋" w:eastAsia="仿宋" w:cs="宋体"/>
          <w:b w:val="0"/>
          <w:kern w:val="0"/>
          <w:highlight w:val="none"/>
        </w:rPr>
      </w:pPr>
    </w:p>
    <w:p w14:paraId="24B01F83">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我单位参加__________________________________ (项目名称)采购活动，保证以下事项：</w:t>
      </w:r>
    </w:p>
    <w:p w14:paraId="3FD8E7BB">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一、我单位不存在不良信用记录，</w:t>
      </w:r>
      <w:r>
        <w:rPr>
          <w:rStyle w:val="21"/>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1"/>
          <w:rFonts w:hint="eastAsia" w:ascii="仿宋" w:hAnsi="仿宋" w:eastAsia="仿宋" w:cs="宋体"/>
          <w:b w:val="0"/>
          <w:spacing w:val="-20"/>
          <w:kern w:val="0"/>
          <w:sz w:val="28"/>
          <w:highlight w:val="none"/>
        </w:rPr>
        <w:t>。</w:t>
      </w:r>
    </w:p>
    <w:p w14:paraId="23452897">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14:paraId="29A49FD7">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14:paraId="1F74C483">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14:paraId="3DAA567E">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特此承诺</w:t>
      </w:r>
    </w:p>
    <w:p w14:paraId="64456067">
      <w:pPr>
        <w:pStyle w:val="10"/>
        <w:ind w:firstLine="280" w:firstLineChars="100"/>
        <w:jc w:val="left"/>
        <w:rPr>
          <w:rStyle w:val="21"/>
          <w:rFonts w:hint="eastAsia" w:ascii="仿宋" w:hAnsi="仿宋" w:eastAsia="仿宋" w:cs="宋体"/>
          <w:b w:val="0"/>
          <w:kern w:val="0"/>
          <w:sz w:val="28"/>
          <w:highlight w:val="none"/>
        </w:rPr>
      </w:pPr>
    </w:p>
    <w:p w14:paraId="16546B3B">
      <w:pPr>
        <w:pStyle w:val="10"/>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40CADACC">
      <w:pPr>
        <w:pStyle w:val="10"/>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13101D77">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日 期：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年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月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日</w:t>
      </w:r>
    </w:p>
    <w:p w14:paraId="19097380">
      <w:pPr>
        <w:pStyle w:val="10"/>
        <w:jc w:val="center"/>
        <w:rPr>
          <w:rStyle w:val="21"/>
          <w:rFonts w:hint="eastAsia" w:ascii="仿宋" w:hAnsi="仿宋" w:eastAsia="仿宋" w:cs="宋体"/>
          <w:b/>
          <w:bCs w:val="0"/>
          <w:kern w:val="0"/>
          <w:sz w:val="32"/>
          <w:szCs w:val="22"/>
          <w:highlight w:val="none"/>
        </w:rPr>
      </w:pPr>
    </w:p>
    <w:p w14:paraId="0156580A">
      <w:pPr>
        <w:pStyle w:val="10"/>
        <w:jc w:val="both"/>
        <w:rPr>
          <w:rStyle w:val="21"/>
          <w:rFonts w:hint="default"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附件十：</w:t>
      </w:r>
    </w:p>
    <w:p w14:paraId="2C1D6BAA">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报价一览表密封信封正面格式</w:t>
      </w:r>
    </w:p>
    <w:p w14:paraId="6FC492EE">
      <w:pPr>
        <w:jc w:val="center"/>
        <w:rPr>
          <w:rFonts w:hint="eastAsia" w:ascii="宋体" w:hAnsi="宋体"/>
          <w:szCs w:val="21"/>
          <w:highlight w:val="none"/>
        </w:rPr>
      </w:pPr>
    </w:p>
    <w:tbl>
      <w:tblPr>
        <w:tblStyle w:val="18"/>
        <w:tblW w:w="8672"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14:paraId="11E1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672" w:type="dxa"/>
            <w:noWrap w:val="0"/>
            <w:vAlign w:val="top"/>
          </w:tcPr>
          <w:p w14:paraId="48C692F8">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14:paraId="0228FBBB">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14:paraId="6296EC24">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7708360E">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10FD3DE7">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14:paraId="3E9A0778">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14:paraId="64169179">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14:paraId="6F82D3CE">
      <w:pPr>
        <w:jc w:val="center"/>
        <w:rPr>
          <w:rFonts w:hint="eastAsia" w:ascii="仿宋" w:hAnsi="仿宋" w:eastAsia="仿宋" w:cs="仿宋"/>
          <w:sz w:val="24"/>
          <w:highlight w:val="none"/>
        </w:rPr>
      </w:pPr>
    </w:p>
    <w:p w14:paraId="5F6EABFF">
      <w:pPr>
        <w:pStyle w:val="10"/>
        <w:jc w:val="center"/>
        <w:rPr>
          <w:rStyle w:val="21"/>
          <w:rFonts w:hint="eastAsia" w:ascii="仿宋" w:hAnsi="仿宋" w:eastAsia="仿宋" w:cs="仿宋"/>
          <w:b/>
          <w:bCs w:val="0"/>
          <w:kern w:val="0"/>
          <w:sz w:val="32"/>
          <w:szCs w:val="22"/>
          <w:highlight w:val="none"/>
          <w:lang w:val="en-US" w:eastAsia="zh-CN"/>
        </w:rPr>
      </w:pPr>
      <w:r>
        <w:rPr>
          <w:rStyle w:val="21"/>
          <w:rFonts w:hint="eastAsia" w:ascii="仿宋" w:hAnsi="仿宋" w:eastAsia="仿宋" w:cs="仿宋"/>
          <w:b/>
          <w:bCs w:val="0"/>
          <w:kern w:val="0"/>
          <w:sz w:val="32"/>
          <w:szCs w:val="22"/>
          <w:highlight w:val="none"/>
          <w:lang w:val="en-US" w:eastAsia="zh-CN"/>
        </w:rPr>
        <w:t>报价一览表密封信封封口格式</w:t>
      </w:r>
    </w:p>
    <w:tbl>
      <w:tblPr>
        <w:tblStyle w:val="18"/>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14:paraId="5967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14:paraId="6BC9A045">
            <w:pPr>
              <w:rPr>
                <w:rFonts w:hint="eastAsia" w:ascii="仿宋" w:hAnsi="仿宋" w:eastAsia="仿宋" w:cs="仿宋"/>
                <w:sz w:val="24"/>
                <w:highlight w:val="none"/>
              </w:rPr>
            </w:pPr>
          </w:p>
          <w:p w14:paraId="3F482BE7">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2024年</w:t>
            </w:r>
            <w:r>
              <w:rPr>
                <w:rFonts w:hint="eastAsia" w:ascii="仿宋" w:hAnsi="仿宋" w:eastAsia="仿宋" w:cs="仿宋"/>
                <w:b/>
                <w:color w:val="FF0000"/>
                <w:sz w:val="24"/>
                <w:highlight w:val="none"/>
                <w:lang w:val="en-US" w:eastAsia="zh-CN"/>
              </w:rPr>
              <w:t>12</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4</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14</w:t>
            </w:r>
            <w:r>
              <w:rPr>
                <w:rFonts w:hint="eastAsia" w:ascii="仿宋" w:hAnsi="仿宋" w:eastAsia="仿宋" w:cs="仿宋"/>
                <w:b/>
                <w:color w:val="FF0000"/>
                <w:sz w:val="24"/>
                <w:highlight w:val="none"/>
                <w:lang w:eastAsia="zh-CN"/>
              </w:rPr>
              <w:t>时</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lang w:eastAsia="zh-CN"/>
              </w:rPr>
              <w:t>分</w:t>
            </w:r>
            <w:r>
              <w:rPr>
                <w:rFonts w:hint="eastAsia" w:ascii="仿宋" w:hAnsi="仿宋" w:eastAsia="仿宋" w:cs="仿宋"/>
                <w:b/>
                <w:sz w:val="24"/>
                <w:highlight w:val="none"/>
              </w:rPr>
              <w:t>前不准启封（加盖公章）…………………</w:t>
            </w:r>
          </w:p>
          <w:p w14:paraId="4B372C07">
            <w:pPr>
              <w:rPr>
                <w:rFonts w:hint="eastAsia" w:ascii="仿宋" w:hAnsi="仿宋" w:eastAsia="仿宋" w:cs="仿宋"/>
                <w:sz w:val="24"/>
                <w:highlight w:val="none"/>
              </w:rPr>
            </w:pPr>
          </w:p>
          <w:p w14:paraId="3C3A326B">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0Pwk2AAAAAkBAAAPAAAAAAAAAAEAIAAAACIAAABkcnMv&#10;ZG93bnJldi54bWxQSwECFAAUAAAACACHTuJAiHztaAMCAADxAwAADgAAAAAAAAABACAAAAAnAQAA&#10;ZHJzL2Uyb0RvYy54bWxQSwUGAAAAAAYABgBZAQAAnAUAAAAA&#10;">
                      <v:fill on="f" focussize="0,0"/>
                      <v:stroke color="#000000" joinstyle="round" endarrow="block"/>
                      <v:imagedata o:title=""/>
                      <o:lock v:ext="edit" aspectratio="f"/>
                    </v:line>
                  </w:pict>
                </mc:Fallback>
              </mc:AlternateContent>
            </w:r>
          </w:p>
          <w:p w14:paraId="6A3CE980">
            <w:pPr>
              <w:rPr>
                <w:rFonts w:hint="eastAsia" w:ascii="仿宋" w:hAnsi="仿宋" w:eastAsia="仿宋" w:cs="仿宋"/>
                <w:sz w:val="24"/>
                <w:highlight w:val="none"/>
              </w:rPr>
            </w:pPr>
          </w:p>
          <w:p w14:paraId="71E1650A">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14:paraId="6290F9CA">
      <w:pPr>
        <w:jc w:val="center"/>
        <w:rPr>
          <w:rFonts w:hint="eastAsia"/>
          <w:sz w:val="24"/>
          <w:highlight w:val="none"/>
        </w:rPr>
      </w:pPr>
    </w:p>
    <w:p w14:paraId="5D9E41CB">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响应文件密封信封正面格式</w:t>
      </w:r>
    </w:p>
    <w:p w14:paraId="58AEFD12">
      <w:pPr>
        <w:jc w:val="center"/>
        <w:rPr>
          <w:rFonts w:hint="eastAsia" w:ascii="宋体" w:hAnsi="宋体"/>
          <w:b/>
          <w:bCs/>
          <w:sz w:val="24"/>
          <w:highlight w:val="none"/>
        </w:rPr>
      </w:pP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14:paraId="1EE8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14:paraId="227C8CB8">
            <w:pPr>
              <w:jc w:val="center"/>
              <w:rPr>
                <w:rFonts w:hint="eastAsia" w:ascii="宋体" w:hAnsi="宋体"/>
                <w:sz w:val="24"/>
                <w:highlight w:val="none"/>
              </w:rPr>
            </w:pPr>
            <w:r>
              <w:rPr>
                <w:rFonts w:hint="eastAsia" w:ascii="宋体" w:hAnsi="宋体"/>
                <w:sz w:val="24"/>
                <w:highlight w:val="none"/>
              </w:rPr>
              <w:t xml:space="preserve">                                                               </w:t>
            </w:r>
          </w:p>
          <w:p w14:paraId="498C5E58">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14:paraId="3BF23D50">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5633E678">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14:paraId="14F5FA79">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14:paraId="5236372C">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14:paraId="756255C7">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14:paraId="5728A1B2">
      <w:pPr>
        <w:jc w:val="center"/>
        <w:rPr>
          <w:rFonts w:ascii="宋体" w:hAnsi="宋体"/>
          <w:b/>
          <w:bCs/>
          <w:sz w:val="24"/>
          <w:highlight w:val="none"/>
        </w:rPr>
      </w:pPr>
    </w:p>
    <w:p w14:paraId="390E83BB">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响应文件密封信封封口格式</w:t>
      </w: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14:paraId="1B0F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14:paraId="5A9D8CA7">
            <w:pPr>
              <w:rPr>
                <w:rFonts w:hint="eastAsia" w:ascii="宋体" w:hAnsi="宋体"/>
                <w:sz w:val="24"/>
                <w:highlight w:val="none"/>
              </w:rPr>
            </w:pPr>
          </w:p>
          <w:p w14:paraId="01A9D69F">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2024年</w:t>
            </w:r>
            <w:r>
              <w:rPr>
                <w:rFonts w:hint="eastAsia" w:ascii="仿宋" w:hAnsi="仿宋" w:eastAsia="仿宋" w:cs="仿宋"/>
                <w:b/>
                <w:color w:val="FF0000"/>
                <w:sz w:val="24"/>
                <w:highlight w:val="none"/>
                <w:lang w:val="en-US" w:eastAsia="zh-CN"/>
              </w:rPr>
              <w:t>12</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4</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14</w:t>
            </w:r>
            <w:r>
              <w:rPr>
                <w:rFonts w:hint="eastAsia" w:ascii="仿宋" w:hAnsi="仿宋" w:eastAsia="仿宋" w:cs="仿宋"/>
                <w:b/>
                <w:color w:val="FF0000"/>
                <w:sz w:val="24"/>
                <w:highlight w:val="none"/>
                <w:lang w:eastAsia="zh-CN"/>
              </w:rPr>
              <w:t>时</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lang w:eastAsia="zh-CN"/>
              </w:rPr>
              <w:t>分</w:t>
            </w:r>
            <w:r>
              <w:rPr>
                <w:rFonts w:hint="eastAsia" w:ascii="仿宋" w:hAnsi="仿宋" w:eastAsia="仿宋" w:cs="仿宋"/>
                <w:b/>
                <w:sz w:val="24"/>
                <w:highlight w:val="none"/>
              </w:rPr>
              <w:t>前不准启封（加盖公章）………………</w:t>
            </w:r>
          </w:p>
          <w:p w14:paraId="1B283C90">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3wq3ZAAAACQEAAA8AAAAAAAAAAQAgAAAA&#10;IgAAAGRycy9kb3ducmV2LnhtbFBLAQIUABQAAAAIAIdO4kDUDAM7CgIAAP8DAAAOAAAAAAAAAAEA&#10;IAAAACgBAABkcnMvZTJvRG9jLnhtbFBLBQYAAAAABgAGAFkBAACkBQAAAAA=&#10;">
                      <v:fill on="f" focussize="0,0"/>
                      <v:stroke color="#000000" joinstyle="round" endarrow="block"/>
                      <v:imagedata o:title=""/>
                      <o:lock v:ext="edit" aspectratio="f"/>
                    </v:line>
                  </w:pict>
                </mc:Fallback>
              </mc:AlternateContent>
            </w:r>
          </w:p>
          <w:p w14:paraId="06BFFF9F">
            <w:pPr>
              <w:rPr>
                <w:rFonts w:hint="eastAsia" w:ascii="仿宋" w:hAnsi="仿宋" w:eastAsia="仿宋" w:cs="仿宋"/>
                <w:sz w:val="24"/>
                <w:highlight w:val="none"/>
              </w:rPr>
            </w:pPr>
          </w:p>
          <w:p w14:paraId="2202AE98">
            <w:pPr>
              <w:rPr>
                <w:rFonts w:hint="eastAsia" w:ascii="仿宋" w:hAnsi="仿宋" w:eastAsia="仿宋" w:cs="仿宋"/>
                <w:sz w:val="24"/>
                <w:highlight w:val="none"/>
              </w:rPr>
            </w:pPr>
          </w:p>
          <w:p w14:paraId="6DC5C81E">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14:paraId="09CE8882">
      <w:pPr>
        <w:jc w:val="center"/>
        <w:rPr>
          <w:rFonts w:hint="eastAsia" w:ascii="宋体" w:hAnsi="宋体"/>
          <w:b/>
          <w:bCs/>
          <w:kern w:val="0"/>
          <w:sz w:val="24"/>
          <w:highlight w:val="none"/>
        </w:rPr>
      </w:pPr>
    </w:p>
    <w:p w14:paraId="5A10E4BA">
      <w:pPr>
        <w:rPr>
          <w:rFonts w:hint="eastAsia"/>
          <w:highlight w:val="none"/>
        </w:rPr>
      </w:pPr>
    </w:p>
    <w:p w14:paraId="132CC25F">
      <w:pPr>
        <w:pStyle w:val="10"/>
        <w:rPr>
          <w:rFonts w:hint="eastAsia"/>
          <w:highlight w:val="none"/>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PingFang SC 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06A5F">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14:paraId="041380A4">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S8++KzwCAAB4BAAADgAAAAAAAAABACAAAAAeAQAAZHJzL2Uyb0Rv&#10;Yy54bWxQSwUGAAAAAAYABgBZAQAAzAUAAAAA&#10;">
              <v:fill on="f" focussize="0,0"/>
              <v:stroke on="f" miterlimit="8" joinstyle="miter"/>
              <v:imagedata o:title=""/>
              <o:lock v:ext="edit" aspectratio="f"/>
              <v:textbox inset="0mm,0mm,0mm,0mm" style="mso-fit-shape-to-text:t;">
                <w:txbxContent>
                  <w:p w14:paraId="041380A4">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yN2JhNDVjZjYwNDU4M2Y2NWFjZjk5MGIxZDg3NTc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069A"/>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67DDE"/>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4626"/>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069FD"/>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001F"/>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655B"/>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53AC"/>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167482"/>
    <w:rsid w:val="01283AF3"/>
    <w:rsid w:val="01297BBE"/>
    <w:rsid w:val="01564633"/>
    <w:rsid w:val="015772A4"/>
    <w:rsid w:val="015B0C22"/>
    <w:rsid w:val="01695754"/>
    <w:rsid w:val="01905F84"/>
    <w:rsid w:val="01A408D0"/>
    <w:rsid w:val="01B21B53"/>
    <w:rsid w:val="01C11EC5"/>
    <w:rsid w:val="01D22958"/>
    <w:rsid w:val="02272542"/>
    <w:rsid w:val="02291FBB"/>
    <w:rsid w:val="023F6476"/>
    <w:rsid w:val="0254320A"/>
    <w:rsid w:val="025F4F30"/>
    <w:rsid w:val="028C5A5C"/>
    <w:rsid w:val="029C596D"/>
    <w:rsid w:val="02A21DA6"/>
    <w:rsid w:val="02A90EDD"/>
    <w:rsid w:val="02B77D95"/>
    <w:rsid w:val="02CE4EEA"/>
    <w:rsid w:val="02D54924"/>
    <w:rsid w:val="02F15DB1"/>
    <w:rsid w:val="03030002"/>
    <w:rsid w:val="03235F90"/>
    <w:rsid w:val="035830C3"/>
    <w:rsid w:val="036A4FDC"/>
    <w:rsid w:val="03715598"/>
    <w:rsid w:val="0385197E"/>
    <w:rsid w:val="03857865"/>
    <w:rsid w:val="03BF3AD3"/>
    <w:rsid w:val="03E017D2"/>
    <w:rsid w:val="03F3747A"/>
    <w:rsid w:val="03FF434E"/>
    <w:rsid w:val="040323FF"/>
    <w:rsid w:val="040956AE"/>
    <w:rsid w:val="041E63FF"/>
    <w:rsid w:val="04777382"/>
    <w:rsid w:val="04777CB3"/>
    <w:rsid w:val="047954BB"/>
    <w:rsid w:val="048D119D"/>
    <w:rsid w:val="049B49F6"/>
    <w:rsid w:val="04B95A12"/>
    <w:rsid w:val="04C6093B"/>
    <w:rsid w:val="04D472F5"/>
    <w:rsid w:val="04E15489"/>
    <w:rsid w:val="04FA6940"/>
    <w:rsid w:val="05021BF1"/>
    <w:rsid w:val="05323476"/>
    <w:rsid w:val="05516809"/>
    <w:rsid w:val="0596669C"/>
    <w:rsid w:val="05CE576A"/>
    <w:rsid w:val="05E71362"/>
    <w:rsid w:val="06164245"/>
    <w:rsid w:val="069468A4"/>
    <w:rsid w:val="06AA6A76"/>
    <w:rsid w:val="06B31E26"/>
    <w:rsid w:val="06CD3D8D"/>
    <w:rsid w:val="06F118E3"/>
    <w:rsid w:val="06F82BCC"/>
    <w:rsid w:val="070B2EAF"/>
    <w:rsid w:val="0732367E"/>
    <w:rsid w:val="079372E2"/>
    <w:rsid w:val="079A69E8"/>
    <w:rsid w:val="07CA39D4"/>
    <w:rsid w:val="07CA7EB4"/>
    <w:rsid w:val="08165DB2"/>
    <w:rsid w:val="08305112"/>
    <w:rsid w:val="08597590"/>
    <w:rsid w:val="086D0CB1"/>
    <w:rsid w:val="08762F45"/>
    <w:rsid w:val="087710A3"/>
    <w:rsid w:val="08783E2A"/>
    <w:rsid w:val="0879213D"/>
    <w:rsid w:val="088E0549"/>
    <w:rsid w:val="08936B7F"/>
    <w:rsid w:val="08AF756C"/>
    <w:rsid w:val="08CF1B67"/>
    <w:rsid w:val="08E46C52"/>
    <w:rsid w:val="090827DB"/>
    <w:rsid w:val="09212671"/>
    <w:rsid w:val="092B4253"/>
    <w:rsid w:val="092D2D57"/>
    <w:rsid w:val="09855621"/>
    <w:rsid w:val="09C33115"/>
    <w:rsid w:val="09E96F1D"/>
    <w:rsid w:val="09F813B1"/>
    <w:rsid w:val="0A01782E"/>
    <w:rsid w:val="0A062AE3"/>
    <w:rsid w:val="0A0B0DC3"/>
    <w:rsid w:val="0A0F08A4"/>
    <w:rsid w:val="0A140428"/>
    <w:rsid w:val="0A29623B"/>
    <w:rsid w:val="0A634380"/>
    <w:rsid w:val="0A7503A6"/>
    <w:rsid w:val="0A92133B"/>
    <w:rsid w:val="0A9D740F"/>
    <w:rsid w:val="0AC46BE7"/>
    <w:rsid w:val="0ACE6829"/>
    <w:rsid w:val="0AF140E1"/>
    <w:rsid w:val="0AFC4036"/>
    <w:rsid w:val="0B1F44DF"/>
    <w:rsid w:val="0B4070CD"/>
    <w:rsid w:val="0B575CC0"/>
    <w:rsid w:val="0B9444F8"/>
    <w:rsid w:val="0BAF0181"/>
    <w:rsid w:val="0BAF1AC8"/>
    <w:rsid w:val="0BBF1451"/>
    <w:rsid w:val="0BC94FA5"/>
    <w:rsid w:val="0BEC286B"/>
    <w:rsid w:val="0C0719C6"/>
    <w:rsid w:val="0C0E1814"/>
    <w:rsid w:val="0C1C7D2D"/>
    <w:rsid w:val="0C753EA4"/>
    <w:rsid w:val="0C860D87"/>
    <w:rsid w:val="0C9D2EB8"/>
    <w:rsid w:val="0CA70D04"/>
    <w:rsid w:val="0CB25053"/>
    <w:rsid w:val="0CC50B7D"/>
    <w:rsid w:val="0CE62FDD"/>
    <w:rsid w:val="0D1F3A87"/>
    <w:rsid w:val="0D5017F1"/>
    <w:rsid w:val="0DCB4A52"/>
    <w:rsid w:val="0E464616"/>
    <w:rsid w:val="0E4D4556"/>
    <w:rsid w:val="0E7F5EFB"/>
    <w:rsid w:val="0E85664D"/>
    <w:rsid w:val="0E9A2C64"/>
    <w:rsid w:val="0E9B6011"/>
    <w:rsid w:val="0EC007CE"/>
    <w:rsid w:val="0ECF2C0E"/>
    <w:rsid w:val="0EF127ED"/>
    <w:rsid w:val="0F12751A"/>
    <w:rsid w:val="0F501F02"/>
    <w:rsid w:val="0F50673F"/>
    <w:rsid w:val="0F7B2AAF"/>
    <w:rsid w:val="0F7E4E07"/>
    <w:rsid w:val="0F960B01"/>
    <w:rsid w:val="0FB8461F"/>
    <w:rsid w:val="0FDE0233"/>
    <w:rsid w:val="0FE461E1"/>
    <w:rsid w:val="10140B15"/>
    <w:rsid w:val="101957F6"/>
    <w:rsid w:val="101A6961"/>
    <w:rsid w:val="10457DE2"/>
    <w:rsid w:val="107409F0"/>
    <w:rsid w:val="107B72FA"/>
    <w:rsid w:val="1091203B"/>
    <w:rsid w:val="10AF6705"/>
    <w:rsid w:val="10C7607E"/>
    <w:rsid w:val="10FB6B29"/>
    <w:rsid w:val="11145BA8"/>
    <w:rsid w:val="112500E6"/>
    <w:rsid w:val="112577FA"/>
    <w:rsid w:val="112A38ED"/>
    <w:rsid w:val="114D0719"/>
    <w:rsid w:val="11724BDC"/>
    <w:rsid w:val="117F0568"/>
    <w:rsid w:val="11974053"/>
    <w:rsid w:val="11DF6587"/>
    <w:rsid w:val="11E457C9"/>
    <w:rsid w:val="11E87B13"/>
    <w:rsid w:val="120144E2"/>
    <w:rsid w:val="1205421F"/>
    <w:rsid w:val="120A2D71"/>
    <w:rsid w:val="121344BB"/>
    <w:rsid w:val="121C2E0A"/>
    <w:rsid w:val="124263E6"/>
    <w:rsid w:val="12476AE0"/>
    <w:rsid w:val="125763D6"/>
    <w:rsid w:val="12630FD9"/>
    <w:rsid w:val="12790226"/>
    <w:rsid w:val="12795956"/>
    <w:rsid w:val="127D4413"/>
    <w:rsid w:val="128C409B"/>
    <w:rsid w:val="128E73BE"/>
    <w:rsid w:val="12904B5E"/>
    <w:rsid w:val="129B2583"/>
    <w:rsid w:val="12C6571C"/>
    <w:rsid w:val="12E139CA"/>
    <w:rsid w:val="12FA1D33"/>
    <w:rsid w:val="12FA5C6B"/>
    <w:rsid w:val="132B6CD5"/>
    <w:rsid w:val="13436371"/>
    <w:rsid w:val="136D7D68"/>
    <w:rsid w:val="13771893"/>
    <w:rsid w:val="13785AD3"/>
    <w:rsid w:val="138502A7"/>
    <w:rsid w:val="13B20965"/>
    <w:rsid w:val="13C14C6D"/>
    <w:rsid w:val="13CC152B"/>
    <w:rsid w:val="14270895"/>
    <w:rsid w:val="142C3420"/>
    <w:rsid w:val="142C5A00"/>
    <w:rsid w:val="143A160A"/>
    <w:rsid w:val="14644C77"/>
    <w:rsid w:val="147902F2"/>
    <w:rsid w:val="149462BD"/>
    <w:rsid w:val="14BC7527"/>
    <w:rsid w:val="14C06E71"/>
    <w:rsid w:val="14E342D5"/>
    <w:rsid w:val="14F14038"/>
    <w:rsid w:val="14F25351"/>
    <w:rsid w:val="152E3E6F"/>
    <w:rsid w:val="15407606"/>
    <w:rsid w:val="15506DE8"/>
    <w:rsid w:val="15936363"/>
    <w:rsid w:val="159706CC"/>
    <w:rsid w:val="15B14EA8"/>
    <w:rsid w:val="15BB2F51"/>
    <w:rsid w:val="15BC078D"/>
    <w:rsid w:val="15C2782F"/>
    <w:rsid w:val="15C758A4"/>
    <w:rsid w:val="15C75D2A"/>
    <w:rsid w:val="15F63BB4"/>
    <w:rsid w:val="16046C68"/>
    <w:rsid w:val="164C6E37"/>
    <w:rsid w:val="164F7B93"/>
    <w:rsid w:val="16571C5B"/>
    <w:rsid w:val="165A347B"/>
    <w:rsid w:val="16A039D6"/>
    <w:rsid w:val="16AE5A72"/>
    <w:rsid w:val="16C022E7"/>
    <w:rsid w:val="16DA28F9"/>
    <w:rsid w:val="16F8391E"/>
    <w:rsid w:val="17152DDB"/>
    <w:rsid w:val="172D1C8E"/>
    <w:rsid w:val="174168F9"/>
    <w:rsid w:val="17581553"/>
    <w:rsid w:val="17650515"/>
    <w:rsid w:val="17B60D70"/>
    <w:rsid w:val="17BA7210"/>
    <w:rsid w:val="17BF739D"/>
    <w:rsid w:val="17C508E0"/>
    <w:rsid w:val="17CF0A07"/>
    <w:rsid w:val="180171C3"/>
    <w:rsid w:val="18071685"/>
    <w:rsid w:val="18222414"/>
    <w:rsid w:val="182E6B59"/>
    <w:rsid w:val="183422AC"/>
    <w:rsid w:val="185E21C8"/>
    <w:rsid w:val="18652394"/>
    <w:rsid w:val="18654983"/>
    <w:rsid w:val="18761B77"/>
    <w:rsid w:val="187758D3"/>
    <w:rsid w:val="18797F4A"/>
    <w:rsid w:val="189A558E"/>
    <w:rsid w:val="18C458B5"/>
    <w:rsid w:val="18D965B8"/>
    <w:rsid w:val="18FC5C3B"/>
    <w:rsid w:val="1902523F"/>
    <w:rsid w:val="19040133"/>
    <w:rsid w:val="19130463"/>
    <w:rsid w:val="193844ED"/>
    <w:rsid w:val="193B3AC2"/>
    <w:rsid w:val="195B4DF4"/>
    <w:rsid w:val="195F6696"/>
    <w:rsid w:val="19836A30"/>
    <w:rsid w:val="198F69DC"/>
    <w:rsid w:val="19CC43D4"/>
    <w:rsid w:val="19EF66CA"/>
    <w:rsid w:val="19F416DC"/>
    <w:rsid w:val="1A0710BB"/>
    <w:rsid w:val="1A0F0505"/>
    <w:rsid w:val="1A105584"/>
    <w:rsid w:val="1A301BF0"/>
    <w:rsid w:val="1A3B17BB"/>
    <w:rsid w:val="1A3F4F6A"/>
    <w:rsid w:val="1A487EC9"/>
    <w:rsid w:val="1A632148"/>
    <w:rsid w:val="1A686637"/>
    <w:rsid w:val="1A854445"/>
    <w:rsid w:val="1A9E2AC2"/>
    <w:rsid w:val="1ACF0C32"/>
    <w:rsid w:val="1AD20E9E"/>
    <w:rsid w:val="1AD53740"/>
    <w:rsid w:val="1AE50EB9"/>
    <w:rsid w:val="1B041676"/>
    <w:rsid w:val="1B065EF3"/>
    <w:rsid w:val="1B2E03AF"/>
    <w:rsid w:val="1B320C1F"/>
    <w:rsid w:val="1B4D422B"/>
    <w:rsid w:val="1B6273D6"/>
    <w:rsid w:val="1B634337"/>
    <w:rsid w:val="1B93433F"/>
    <w:rsid w:val="1B951F9E"/>
    <w:rsid w:val="1B970330"/>
    <w:rsid w:val="1BAF75E7"/>
    <w:rsid w:val="1BB2715E"/>
    <w:rsid w:val="1BE75481"/>
    <w:rsid w:val="1BFB05B0"/>
    <w:rsid w:val="1C006DEE"/>
    <w:rsid w:val="1C0227D6"/>
    <w:rsid w:val="1C16002F"/>
    <w:rsid w:val="1C370FAB"/>
    <w:rsid w:val="1C534C66"/>
    <w:rsid w:val="1C934526"/>
    <w:rsid w:val="1C9D2F9C"/>
    <w:rsid w:val="1CDC1FCF"/>
    <w:rsid w:val="1CFB77E2"/>
    <w:rsid w:val="1D382AB8"/>
    <w:rsid w:val="1D3940E1"/>
    <w:rsid w:val="1D4B5F27"/>
    <w:rsid w:val="1D502E45"/>
    <w:rsid w:val="1D5C34DC"/>
    <w:rsid w:val="1D610308"/>
    <w:rsid w:val="1D6F08F2"/>
    <w:rsid w:val="1D7F6EA4"/>
    <w:rsid w:val="1DB13FF9"/>
    <w:rsid w:val="1DC660D7"/>
    <w:rsid w:val="1DE44895"/>
    <w:rsid w:val="1DFD5B66"/>
    <w:rsid w:val="1E171754"/>
    <w:rsid w:val="1E261FB2"/>
    <w:rsid w:val="1E457849"/>
    <w:rsid w:val="1E470974"/>
    <w:rsid w:val="1E4976F9"/>
    <w:rsid w:val="1EA04E56"/>
    <w:rsid w:val="1EA71ADF"/>
    <w:rsid w:val="1EBE698E"/>
    <w:rsid w:val="1EFF1BCB"/>
    <w:rsid w:val="1F4B6FFA"/>
    <w:rsid w:val="1F6114E4"/>
    <w:rsid w:val="1FA5701B"/>
    <w:rsid w:val="1FC2324F"/>
    <w:rsid w:val="1FFE1316"/>
    <w:rsid w:val="20044D65"/>
    <w:rsid w:val="201D2C24"/>
    <w:rsid w:val="20255756"/>
    <w:rsid w:val="209A7FA8"/>
    <w:rsid w:val="20A071B5"/>
    <w:rsid w:val="20AB2676"/>
    <w:rsid w:val="20AC2D33"/>
    <w:rsid w:val="20B94831"/>
    <w:rsid w:val="20F46465"/>
    <w:rsid w:val="2105239D"/>
    <w:rsid w:val="213E1597"/>
    <w:rsid w:val="21765AF1"/>
    <w:rsid w:val="21AA6781"/>
    <w:rsid w:val="21B7496D"/>
    <w:rsid w:val="21D977FF"/>
    <w:rsid w:val="21E46748"/>
    <w:rsid w:val="21F14257"/>
    <w:rsid w:val="21FE1339"/>
    <w:rsid w:val="221E4713"/>
    <w:rsid w:val="22440EC2"/>
    <w:rsid w:val="226E2A7E"/>
    <w:rsid w:val="22914B63"/>
    <w:rsid w:val="22A80799"/>
    <w:rsid w:val="22BA2ACD"/>
    <w:rsid w:val="22C06BE9"/>
    <w:rsid w:val="22D714BB"/>
    <w:rsid w:val="22DD0EA7"/>
    <w:rsid w:val="22E56822"/>
    <w:rsid w:val="231177D2"/>
    <w:rsid w:val="232368EB"/>
    <w:rsid w:val="2398086B"/>
    <w:rsid w:val="2398619C"/>
    <w:rsid w:val="23A2169C"/>
    <w:rsid w:val="23BA5744"/>
    <w:rsid w:val="23C652BD"/>
    <w:rsid w:val="23EB6B37"/>
    <w:rsid w:val="240C7A4B"/>
    <w:rsid w:val="24164D8A"/>
    <w:rsid w:val="241A0B63"/>
    <w:rsid w:val="24373B35"/>
    <w:rsid w:val="24376069"/>
    <w:rsid w:val="24510671"/>
    <w:rsid w:val="24575E8C"/>
    <w:rsid w:val="24671846"/>
    <w:rsid w:val="246F639E"/>
    <w:rsid w:val="247753E3"/>
    <w:rsid w:val="24A15691"/>
    <w:rsid w:val="24A54D1C"/>
    <w:rsid w:val="24B50833"/>
    <w:rsid w:val="24B77205"/>
    <w:rsid w:val="24F560BD"/>
    <w:rsid w:val="24FC7A51"/>
    <w:rsid w:val="2512246F"/>
    <w:rsid w:val="253B1FD7"/>
    <w:rsid w:val="259960B2"/>
    <w:rsid w:val="25AA562A"/>
    <w:rsid w:val="25BD539D"/>
    <w:rsid w:val="26554435"/>
    <w:rsid w:val="265F1F0F"/>
    <w:rsid w:val="2683792E"/>
    <w:rsid w:val="26A83982"/>
    <w:rsid w:val="26AF6D66"/>
    <w:rsid w:val="26B26BA7"/>
    <w:rsid w:val="26E83835"/>
    <w:rsid w:val="26F33300"/>
    <w:rsid w:val="26FA7C4E"/>
    <w:rsid w:val="270B6E00"/>
    <w:rsid w:val="27157808"/>
    <w:rsid w:val="272C3E98"/>
    <w:rsid w:val="27473175"/>
    <w:rsid w:val="2755194C"/>
    <w:rsid w:val="276701D8"/>
    <w:rsid w:val="27A2044E"/>
    <w:rsid w:val="27CB2F61"/>
    <w:rsid w:val="28172C54"/>
    <w:rsid w:val="28283A16"/>
    <w:rsid w:val="283A1462"/>
    <w:rsid w:val="28495E70"/>
    <w:rsid w:val="28791141"/>
    <w:rsid w:val="28A21733"/>
    <w:rsid w:val="28C71A7B"/>
    <w:rsid w:val="28D0023C"/>
    <w:rsid w:val="28D93910"/>
    <w:rsid w:val="28ED7019"/>
    <w:rsid w:val="290B31FE"/>
    <w:rsid w:val="290B4415"/>
    <w:rsid w:val="292410E6"/>
    <w:rsid w:val="29296498"/>
    <w:rsid w:val="294F33BC"/>
    <w:rsid w:val="297E7504"/>
    <w:rsid w:val="298B305B"/>
    <w:rsid w:val="29A2677D"/>
    <w:rsid w:val="29A26E4E"/>
    <w:rsid w:val="29D82EAF"/>
    <w:rsid w:val="2A1505B9"/>
    <w:rsid w:val="2A1944BF"/>
    <w:rsid w:val="2A3873C3"/>
    <w:rsid w:val="2A5E7E09"/>
    <w:rsid w:val="2A8940C2"/>
    <w:rsid w:val="2A8E3849"/>
    <w:rsid w:val="2A903DBE"/>
    <w:rsid w:val="2B2623E0"/>
    <w:rsid w:val="2B6E5B57"/>
    <w:rsid w:val="2B870CBA"/>
    <w:rsid w:val="2BA8671A"/>
    <w:rsid w:val="2BCA6781"/>
    <w:rsid w:val="2BDF0E22"/>
    <w:rsid w:val="2BE10580"/>
    <w:rsid w:val="2BFF50D9"/>
    <w:rsid w:val="2C1E3D3E"/>
    <w:rsid w:val="2C1E7B68"/>
    <w:rsid w:val="2C425EFD"/>
    <w:rsid w:val="2C43393F"/>
    <w:rsid w:val="2C64416B"/>
    <w:rsid w:val="2C8035DE"/>
    <w:rsid w:val="2C894183"/>
    <w:rsid w:val="2CA82629"/>
    <w:rsid w:val="2CB0514D"/>
    <w:rsid w:val="2CD45E56"/>
    <w:rsid w:val="2CD75660"/>
    <w:rsid w:val="2CDE6A41"/>
    <w:rsid w:val="2CF32EC4"/>
    <w:rsid w:val="2CF556E9"/>
    <w:rsid w:val="2D581728"/>
    <w:rsid w:val="2D711FE2"/>
    <w:rsid w:val="2D864C95"/>
    <w:rsid w:val="2DBA1024"/>
    <w:rsid w:val="2DD765AB"/>
    <w:rsid w:val="2DE955A4"/>
    <w:rsid w:val="2DF049D7"/>
    <w:rsid w:val="2E1179B0"/>
    <w:rsid w:val="2E136416"/>
    <w:rsid w:val="2E5B1F52"/>
    <w:rsid w:val="2E5F49F6"/>
    <w:rsid w:val="2E6752D9"/>
    <w:rsid w:val="2E69305D"/>
    <w:rsid w:val="2E717C3A"/>
    <w:rsid w:val="2E7266D8"/>
    <w:rsid w:val="2EAD3BCF"/>
    <w:rsid w:val="2EB221ED"/>
    <w:rsid w:val="2EB95DB9"/>
    <w:rsid w:val="2EBA7ECB"/>
    <w:rsid w:val="2EC056DC"/>
    <w:rsid w:val="2EC23473"/>
    <w:rsid w:val="2EC30E84"/>
    <w:rsid w:val="2EC87C93"/>
    <w:rsid w:val="2ED222E7"/>
    <w:rsid w:val="2EE22A21"/>
    <w:rsid w:val="2EF33F90"/>
    <w:rsid w:val="2F277953"/>
    <w:rsid w:val="2F45098B"/>
    <w:rsid w:val="2F4E3FEE"/>
    <w:rsid w:val="2F547ACA"/>
    <w:rsid w:val="2F5F46AB"/>
    <w:rsid w:val="2F610FBD"/>
    <w:rsid w:val="2F6B7D09"/>
    <w:rsid w:val="2F7A1FC9"/>
    <w:rsid w:val="2F984A50"/>
    <w:rsid w:val="2F9F0309"/>
    <w:rsid w:val="2FA44F9B"/>
    <w:rsid w:val="2FB82888"/>
    <w:rsid w:val="2FB971F8"/>
    <w:rsid w:val="2FD949FD"/>
    <w:rsid w:val="2FE72694"/>
    <w:rsid w:val="30011D3D"/>
    <w:rsid w:val="300521ED"/>
    <w:rsid w:val="30154AF2"/>
    <w:rsid w:val="3023662D"/>
    <w:rsid w:val="303653FA"/>
    <w:rsid w:val="303F2C90"/>
    <w:rsid w:val="30606198"/>
    <w:rsid w:val="307210DE"/>
    <w:rsid w:val="307B4A10"/>
    <w:rsid w:val="3095158E"/>
    <w:rsid w:val="3099078E"/>
    <w:rsid w:val="30D944F4"/>
    <w:rsid w:val="30E047A5"/>
    <w:rsid w:val="31024649"/>
    <w:rsid w:val="311B395F"/>
    <w:rsid w:val="312E6B29"/>
    <w:rsid w:val="314A47BF"/>
    <w:rsid w:val="31744E96"/>
    <w:rsid w:val="317B0117"/>
    <w:rsid w:val="31B138FC"/>
    <w:rsid w:val="31B75BA7"/>
    <w:rsid w:val="31C41087"/>
    <w:rsid w:val="31C75679"/>
    <w:rsid w:val="31C94431"/>
    <w:rsid w:val="31CD3B21"/>
    <w:rsid w:val="31D60039"/>
    <w:rsid w:val="32236F6D"/>
    <w:rsid w:val="3251324A"/>
    <w:rsid w:val="325960D4"/>
    <w:rsid w:val="325B0030"/>
    <w:rsid w:val="32C36187"/>
    <w:rsid w:val="32F43E03"/>
    <w:rsid w:val="32FA7B25"/>
    <w:rsid w:val="3316579F"/>
    <w:rsid w:val="331E3055"/>
    <w:rsid w:val="335F3E5D"/>
    <w:rsid w:val="336E03ED"/>
    <w:rsid w:val="336F43BC"/>
    <w:rsid w:val="3385158C"/>
    <w:rsid w:val="33BF3439"/>
    <w:rsid w:val="34390D11"/>
    <w:rsid w:val="343C4C08"/>
    <w:rsid w:val="344F25B9"/>
    <w:rsid w:val="34646816"/>
    <w:rsid w:val="346C49A5"/>
    <w:rsid w:val="346E0772"/>
    <w:rsid w:val="34763798"/>
    <w:rsid w:val="347D4247"/>
    <w:rsid w:val="348A7786"/>
    <w:rsid w:val="34C651DF"/>
    <w:rsid w:val="34CA462D"/>
    <w:rsid w:val="34DE0FA7"/>
    <w:rsid w:val="34E675DC"/>
    <w:rsid w:val="34ED6E06"/>
    <w:rsid w:val="34F0546A"/>
    <w:rsid w:val="35155DA9"/>
    <w:rsid w:val="35174C13"/>
    <w:rsid w:val="35653529"/>
    <w:rsid w:val="3585491C"/>
    <w:rsid w:val="359077FD"/>
    <w:rsid w:val="35CE7AC4"/>
    <w:rsid w:val="35D3595B"/>
    <w:rsid w:val="35DE7086"/>
    <w:rsid w:val="36354A02"/>
    <w:rsid w:val="363B55C2"/>
    <w:rsid w:val="36931946"/>
    <w:rsid w:val="36B7343A"/>
    <w:rsid w:val="36B9701C"/>
    <w:rsid w:val="36F80FC5"/>
    <w:rsid w:val="3716489A"/>
    <w:rsid w:val="37362EDC"/>
    <w:rsid w:val="373723D3"/>
    <w:rsid w:val="373935F1"/>
    <w:rsid w:val="373A012E"/>
    <w:rsid w:val="3763067A"/>
    <w:rsid w:val="37645DF1"/>
    <w:rsid w:val="3767605D"/>
    <w:rsid w:val="37C964D6"/>
    <w:rsid w:val="37E2560B"/>
    <w:rsid w:val="380D1E8F"/>
    <w:rsid w:val="38223257"/>
    <w:rsid w:val="384012FA"/>
    <w:rsid w:val="38441B00"/>
    <w:rsid w:val="38455991"/>
    <w:rsid w:val="384E0CC7"/>
    <w:rsid w:val="386D5ACF"/>
    <w:rsid w:val="38710CE7"/>
    <w:rsid w:val="38830FC1"/>
    <w:rsid w:val="389B2D49"/>
    <w:rsid w:val="38AA1816"/>
    <w:rsid w:val="38C418F1"/>
    <w:rsid w:val="38CB780A"/>
    <w:rsid w:val="38D12DF1"/>
    <w:rsid w:val="39074B30"/>
    <w:rsid w:val="39211573"/>
    <w:rsid w:val="392862AB"/>
    <w:rsid w:val="39360E07"/>
    <w:rsid w:val="393C635E"/>
    <w:rsid w:val="393E7D16"/>
    <w:rsid w:val="3976683A"/>
    <w:rsid w:val="39874499"/>
    <w:rsid w:val="398954CA"/>
    <w:rsid w:val="39D84168"/>
    <w:rsid w:val="39DC7DDA"/>
    <w:rsid w:val="39DF47BF"/>
    <w:rsid w:val="39E3486B"/>
    <w:rsid w:val="39E46D8A"/>
    <w:rsid w:val="39E91696"/>
    <w:rsid w:val="3A0A43EA"/>
    <w:rsid w:val="3A2A2564"/>
    <w:rsid w:val="3A7D1CB1"/>
    <w:rsid w:val="3A986DE4"/>
    <w:rsid w:val="3AB5581F"/>
    <w:rsid w:val="3AC917B8"/>
    <w:rsid w:val="3ADA27EE"/>
    <w:rsid w:val="3AF8100D"/>
    <w:rsid w:val="3AFF2227"/>
    <w:rsid w:val="3B00137D"/>
    <w:rsid w:val="3B0975C7"/>
    <w:rsid w:val="3B277FB3"/>
    <w:rsid w:val="3B304AA6"/>
    <w:rsid w:val="3B5E78FD"/>
    <w:rsid w:val="3BAF6719"/>
    <w:rsid w:val="3BB130CA"/>
    <w:rsid w:val="3BBC0D72"/>
    <w:rsid w:val="3BBD3C8A"/>
    <w:rsid w:val="3BE22854"/>
    <w:rsid w:val="3BEF7BE2"/>
    <w:rsid w:val="3C112B8F"/>
    <w:rsid w:val="3C1812C4"/>
    <w:rsid w:val="3C1C3AAD"/>
    <w:rsid w:val="3C571632"/>
    <w:rsid w:val="3C8333A8"/>
    <w:rsid w:val="3C8D2497"/>
    <w:rsid w:val="3C9D6126"/>
    <w:rsid w:val="3CAA7AB9"/>
    <w:rsid w:val="3CC42957"/>
    <w:rsid w:val="3CC66791"/>
    <w:rsid w:val="3CC66AB0"/>
    <w:rsid w:val="3CE07D91"/>
    <w:rsid w:val="3CEB191C"/>
    <w:rsid w:val="3CF85F4B"/>
    <w:rsid w:val="3D091ECC"/>
    <w:rsid w:val="3D49776F"/>
    <w:rsid w:val="3D560572"/>
    <w:rsid w:val="3D762679"/>
    <w:rsid w:val="3DA14F49"/>
    <w:rsid w:val="3DA54FFE"/>
    <w:rsid w:val="3DB458A3"/>
    <w:rsid w:val="3DBF59D9"/>
    <w:rsid w:val="3DC32FB4"/>
    <w:rsid w:val="3E151075"/>
    <w:rsid w:val="3E3A2826"/>
    <w:rsid w:val="3E466794"/>
    <w:rsid w:val="3E642A25"/>
    <w:rsid w:val="3E9E2019"/>
    <w:rsid w:val="3EA45E3B"/>
    <w:rsid w:val="3EAB0806"/>
    <w:rsid w:val="3EB35218"/>
    <w:rsid w:val="3EB96BF2"/>
    <w:rsid w:val="3EC62ED8"/>
    <w:rsid w:val="3ECD21E7"/>
    <w:rsid w:val="3EE22ECD"/>
    <w:rsid w:val="3F0E5544"/>
    <w:rsid w:val="3F110796"/>
    <w:rsid w:val="3F1E316D"/>
    <w:rsid w:val="3F3E6D34"/>
    <w:rsid w:val="3F404C19"/>
    <w:rsid w:val="3F52306E"/>
    <w:rsid w:val="3F5B5543"/>
    <w:rsid w:val="3F964A5E"/>
    <w:rsid w:val="3FDF0847"/>
    <w:rsid w:val="3FF34E6B"/>
    <w:rsid w:val="3FFC00A9"/>
    <w:rsid w:val="401D5534"/>
    <w:rsid w:val="4027515D"/>
    <w:rsid w:val="403615BA"/>
    <w:rsid w:val="40472C8A"/>
    <w:rsid w:val="40677834"/>
    <w:rsid w:val="40750007"/>
    <w:rsid w:val="40AE2E05"/>
    <w:rsid w:val="40B60AE7"/>
    <w:rsid w:val="40BD0284"/>
    <w:rsid w:val="40C96B6F"/>
    <w:rsid w:val="40D50BB7"/>
    <w:rsid w:val="40DE2639"/>
    <w:rsid w:val="40E37FE4"/>
    <w:rsid w:val="40FA4F23"/>
    <w:rsid w:val="410D4A6F"/>
    <w:rsid w:val="412929DD"/>
    <w:rsid w:val="41372737"/>
    <w:rsid w:val="417C08FF"/>
    <w:rsid w:val="41A32A8B"/>
    <w:rsid w:val="41BC6E1C"/>
    <w:rsid w:val="41C51B37"/>
    <w:rsid w:val="41C76E8D"/>
    <w:rsid w:val="41E260C6"/>
    <w:rsid w:val="41EB5CF0"/>
    <w:rsid w:val="420339B6"/>
    <w:rsid w:val="42130FF8"/>
    <w:rsid w:val="425124B4"/>
    <w:rsid w:val="4282514C"/>
    <w:rsid w:val="429A7122"/>
    <w:rsid w:val="42EC363D"/>
    <w:rsid w:val="4308793C"/>
    <w:rsid w:val="430B6664"/>
    <w:rsid w:val="43225BC3"/>
    <w:rsid w:val="43383A56"/>
    <w:rsid w:val="433A6756"/>
    <w:rsid w:val="43560B8E"/>
    <w:rsid w:val="436276F0"/>
    <w:rsid w:val="4365270B"/>
    <w:rsid w:val="43877EEE"/>
    <w:rsid w:val="43BC64CA"/>
    <w:rsid w:val="43C4733C"/>
    <w:rsid w:val="43CA1987"/>
    <w:rsid w:val="43D459F6"/>
    <w:rsid w:val="4413382E"/>
    <w:rsid w:val="441B3B85"/>
    <w:rsid w:val="44272076"/>
    <w:rsid w:val="442D14B0"/>
    <w:rsid w:val="444934E1"/>
    <w:rsid w:val="4453043A"/>
    <w:rsid w:val="445311B3"/>
    <w:rsid w:val="44791B42"/>
    <w:rsid w:val="44AC2DF1"/>
    <w:rsid w:val="44D71D60"/>
    <w:rsid w:val="452138AB"/>
    <w:rsid w:val="45324256"/>
    <w:rsid w:val="45466DCF"/>
    <w:rsid w:val="456B528A"/>
    <w:rsid w:val="456F29F2"/>
    <w:rsid w:val="45712B7F"/>
    <w:rsid w:val="4574179F"/>
    <w:rsid w:val="45964BF4"/>
    <w:rsid w:val="45AE1F25"/>
    <w:rsid w:val="45C73B84"/>
    <w:rsid w:val="45D76036"/>
    <w:rsid w:val="45EC35A3"/>
    <w:rsid w:val="45EF17A0"/>
    <w:rsid w:val="460961FA"/>
    <w:rsid w:val="463C02F0"/>
    <w:rsid w:val="465804A0"/>
    <w:rsid w:val="466D090F"/>
    <w:rsid w:val="469A5878"/>
    <w:rsid w:val="46C77A05"/>
    <w:rsid w:val="46E26C55"/>
    <w:rsid w:val="46E464B1"/>
    <w:rsid w:val="472646CF"/>
    <w:rsid w:val="47304913"/>
    <w:rsid w:val="4737336D"/>
    <w:rsid w:val="47D94311"/>
    <w:rsid w:val="47F303F3"/>
    <w:rsid w:val="48003292"/>
    <w:rsid w:val="48040335"/>
    <w:rsid w:val="48257ED7"/>
    <w:rsid w:val="4847708E"/>
    <w:rsid w:val="48AE6010"/>
    <w:rsid w:val="48B40105"/>
    <w:rsid w:val="48C51FA3"/>
    <w:rsid w:val="48D40D25"/>
    <w:rsid w:val="48D530DF"/>
    <w:rsid w:val="48E81ED1"/>
    <w:rsid w:val="48EC07C9"/>
    <w:rsid w:val="48ED0E66"/>
    <w:rsid w:val="48EF5A08"/>
    <w:rsid w:val="48F76338"/>
    <w:rsid w:val="492377FE"/>
    <w:rsid w:val="495D45DA"/>
    <w:rsid w:val="495E6E61"/>
    <w:rsid w:val="49614CB2"/>
    <w:rsid w:val="49757C4E"/>
    <w:rsid w:val="4986402E"/>
    <w:rsid w:val="49BC5C94"/>
    <w:rsid w:val="49CD3818"/>
    <w:rsid w:val="49E37EFF"/>
    <w:rsid w:val="49E85953"/>
    <w:rsid w:val="49F65CE7"/>
    <w:rsid w:val="4A2A6799"/>
    <w:rsid w:val="4A6F4C2B"/>
    <w:rsid w:val="4AAC40D4"/>
    <w:rsid w:val="4ADC45CA"/>
    <w:rsid w:val="4AFD3548"/>
    <w:rsid w:val="4B0D5FE1"/>
    <w:rsid w:val="4B164FEF"/>
    <w:rsid w:val="4B2E2521"/>
    <w:rsid w:val="4B30676D"/>
    <w:rsid w:val="4B332309"/>
    <w:rsid w:val="4B332456"/>
    <w:rsid w:val="4B5B1AA3"/>
    <w:rsid w:val="4B77469D"/>
    <w:rsid w:val="4B90272D"/>
    <w:rsid w:val="4BDD2482"/>
    <w:rsid w:val="4BE36EAB"/>
    <w:rsid w:val="4BE37753"/>
    <w:rsid w:val="4BEA4D45"/>
    <w:rsid w:val="4BFA4A9C"/>
    <w:rsid w:val="4C1A6926"/>
    <w:rsid w:val="4C443413"/>
    <w:rsid w:val="4C5E1880"/>
    <w:rsid w:val="4C782B26"/>
    <w:rsid w:val="4C9D4173"/>
    <w:rsid w:val="4CD16F48"/>
    <w:rsid w:val="4CDD55E8"/>
    <w:rsid w:val="4D0C1BE5"/>
    <w:rsid w:val="4D173281"/>
    <w:rsid w:val="4D21399A"/>
    <w:rsid w:val="4D5D4172"/>
    <w:rsid w:val="4D8F61DA"/>
    <w:rsid w:val="4DE44058"/>
    <w:rsid w:val="4DE5034C"/>
    <w:rsid w:val="4DF202F2"/>
    <w:rsid w:val="4DF5144A"/>
    <w:rsid w:val="4E0409AE"/>
    <w:rsid w:val="4E234CEB"/>
    <w:rsid w:val="4E2A2C88"/>
    <w:rsid w:val="4E321782"/>
    <w:rsid w:val="4E442405"/>
    <w:rsid w:val="4E4432EE"/>
    <w:rsid w:val="4E483615"/>
    <w:rsid w:val="4E503E0A"/>
    <w:rsid w:val="4E537E4E"/>
    <w:rsid w:val="4E622ED5"/>
    <w:rsid w:val="4E740C21"/>
    <w:rsid w:val="4E8A3F2B"/>
    <w:rsid w:val="4E8B1138"/>
    <w:rsid w:val="4E8E4E4D"/>
    <w:rsid w:val="4EA65D8C"/>
    <w:rsid w:val="4F09751E"/>
    <w:rsid w:val="4F0B4C4C"/>
    <w:rsid w:val="4F386430"/>
    <w:rsid w:val="4F3D5499"/>
    <w:rsid w:val="4F6C3186"/>
    <w:rsid w:val="4F964791"/>
    <w:rsid w:val="4FB035C2"/>
    <w:rsid w:val="4FBF2665"/>
    <w:rsid w:val="4FDD6662"/>
    <w:rsid w:val="4FDF6FFD"/>
    <w:rsid w:val="4FF81423"/>
    <w:rsid w:val="50002208"/>
    <w:rsid w:val="50480F73"/>
    <w:rsid w:val="506868C9"/>
    <w:rsid w:val="508A0EF4"/>
    <w:rsid w:val="50A31DAA"/>
    <w:rsid w:val="50AA6EA1"/>
    <w:rsid w:val="50B56888"/>
    <w:rsid w:val="50D642BC"/>
    <w:rsid w:val="50E46833"/>
    <w:rsid w:val="51103E6D"/>
    <w:rsid w:val="511868E5"/>
    <w:rsid w:val="511E6F65"/>
    <w:rsid w:val="515E44AB"/>
    <w:rsid w:val="518B1859"/>
    <w:rsid w:val="518F5CEF"/>
    <w:rsid w:val="51956EB2"/>
    <w:rsid w:val="52036E2C"/>
    <w:rsid w:val="520B712D"/>
    <w:rsid w:val="52840BE9"/>
    <w:rsid w:val="52863E09"/>
    <w:rsid w:val="528E5D4C"/>
    <w:rsid w:val="52BE22AC"/>
    <w:rsid w:val="52CD198C"/>
    <w:rsid w:val="52D91925"/>
    <w:rsid w:val="5310521A"/>
    <w:rsid w:val="53276330"/>
    <w:rsid w:val="533B3DB4"/>
    <w:rsid w:val="53494F10"/>
    <w:rsid w:val="53642C72"/>
    <w:rsid w:val="537C63CB"/>
    <w:rsid w:val="53892193"/>
    <w:rsid w:val="538F2791"/>
    <w:rsid w:val="539A5A89"/>
    <w:rsid w:val="53B46970"/>
    <w:rsid w:val="53E5453E"/>
    <w:rsid w:val="53EC7845"/>
    <w:rsid w:val="53F91530"/>
    <w:rsid w:val="540C63F7"/>
    <w:rsid w:val="540F007F"/>
    <w:rsid w:val="541E020C"/>
    <w:rsid w:val="542D32F6"/>
    <w:rsid w:val="543C19CD"/>
    <w:rsid w:val="54470AEF"/>
    <w:rsid w:val="5455279C"/>
    <w:rsid w:val="54DC0BF7"/>
    <w:rsid w:val="54EC27FC"/>
    <w:rsid w:val="55151799"/>
    <w:rsid w:val="552C6B59"/>
    <w:rsid w:val="55334796"/>
    <w:rsid w:val="553C29A5"/>
    <w:rsid w:val="55461010"/>
    <w:rsid w:val="5554579A"/>
    <w:rsid w:val="55555360"/>
    <w:rsid w:val="556E61F4"/>
    <w:rsid w:val="558C48E3"/>
    <w:rsid w:val="558E0800"/>
    <w:rsid w:val="559563DC"/>
    <w:rsid w:val="55B65487"/>
    <w:rsid w:val="55BB19C2"/>
    <w:rsid w:val="55DD27D3"/>
    <w:rsid w:val="55E07D0E"/>
    <w:rsid w:val="55E566C9"/>
    <w:rsid w:val="55F144D1"/>
    <w:rsid w:val="55F179D2"/>
    <w:rsid w:val="55F6744C"/>
    <w:rsid w:val="56242755"/>
    <w:rsid w:val="563306BF"/>
    <w:rsid w:val="564231F4"/>
    <w:rsid w:val="564C65D6"/>
    <w:rsid w:val="567C5151"/>
    <w:rsid w:val="56A52424"/>
    <w:rsid w:val="56AE7DEE"/>
    <w:rsid w:val="56C03D53"/>
    <w:rsid w:val="570B6A40"/>
    <w:rsid w:val="571A27C3"/>
    <w:rsid w:val="57296BE9"/>
    <w:rsid w:val="57297081"/>
    <w:rsid w:val="57375EB4"/>
    <w:rsid w:val="577757DC"/>
    <w:rsid w:val="577E7E19"/>
    <w:rsid w:val="579A73D2"/>
    <w:rsid w:val="57AE5B64"/>
    <w:rsid w:val="57B35510"/>
    <w:rsid w:val="57D65179"/>
    <w:rsid w:val="57DB619D"/>
    <w:rsid w:val="580D593B"/>
    <w:rsid w:val="580E15DF"/>
    <w:rsid w:val="584265F6"/>
    <w:rsid w:val="584F2447"/>
    <w:rsid w:val="5857694E"/>
    <w:rsid w:val="58662719"/>
    <w:rsid w:val="586E4C5D"/>
    <w:rsid w:val="5870229A"/>
    <w:rsid w:val="58801DB1"/>
    <w:rsid w:val="58804C86"/>
    <w:rsid w:val="58931DA3"/>
    <w:rsid w:val="589C7525"/>
    <w:rsid w:val="589D6174"/>
    <w:rsid w:val="58A34E88"/>
    <w:rsid w:val="58C6761B"/>
    <w:rsid w:val="58E732CE"/>
    <w:rsid w:val="590A0C42"/>
    <w:rsid w:val="591751DC"/>
    <w:rsid w:val="59207079"/>
    <w:rsid w:val="5922524A"/>
    <w:rsid w:val="59334445"/>
    <w:rsid w:val="594F36F4"/>
    <w:rsid w:val="596A274E"/>
    <w:rsid w:val="596A4F3B"/>
    <w:rsid w:val="59D2561F"/>
    <w:rsid w:val="59FF616A"/>
    <w:rsid w:val="5A0E538E"/>
    <w:rsid w:val="5A116B68"/>
    <w:rsid w:val="5A184FD2"/>
    <w:rsid w:val="5A2142B1"/>
    <w:rsid w:val="5A2E299E"/>
    <w:rsid w:val="5A3006FB"/>
    <w:rsid w:val="5A7077F1"/>
    <w:rsid w:val="5A7D75C4"/>
    <w:rsid w:val="5AA64C63"/>
    <w:rsid w:val="5AAA0B71"/>
    <w:rsid w:val="5AC20F24"/>
    <w:rsid w:val="5AC26CAF"/>
    <w:rsid w:val="5ACB0ECD"/>
    <w:rsid w:val="5B070568"/>
    <w:rsid w:val="5B075EB5"/>
    <w:rsid w:val="5B3100CF"/>
    <w:rsid w:val="5B426C5C"/>
    <w:rsid w:val="5B526BB0"/>
    <w:rsid w:val="5B592543"/>
    <w:rsid w:val="5B625A37"/>
    <w:rsid w:val="5B9517C9"/>
    <w:rsid w:val="5B9F142A"/>
    <w:rsid w:val="5BD44ADC"/>
    <w:rsid w:val="5BD90F55"/>
    <w:rsid w:val="5BDB318E"/>
    <w:rsid w:val="5BE35510"/>
    <w:rsid w:val="5BF45ECB"/>
    <w:rsid w:val="5C0F1DCA"/>
    <w:rsid w:val="5C2B7745"/>
    <w:rsid w:val="5C473B62"/>
    <w:rsid w:val="5C603412"/>
    <w:rsid w:val="5C653304"/>
    <w:rsid w:val="5C69535E"/>
    <w:rsid w:val="5C7850AB"/>
    <w:rsid w:val="5C8B195F"/>
    <w:rsid w:val="5D450E12"/>
    <w:rsid w:val="5D5C3842"/>
    <w:rsid w:val="5D955D37"/>
    <w:rsid w:val="5DAA4EBD"/>
    <w:rsid w:val="5DAF3E02"/>
    <w:rsid w:val="5DD86CA5"/>
    <w:rsid w:val="5DD966DB"/>
    <w:rsid w:val="5E1300B4"/>
    <w:rsid w:val="5E144D1A"/>
    <w:rsid w:val="5E1E66DC"/>
    <w:rsid w:val="5E2116B1"/>
    <w:rsid w:val="5E2E02E7"/>
    <w:rsid w:val="5E316389"/>
    <w:rsid w:val="5E480E23"/>
    <w:rsid w:val="5E9B5065"/>
    <w:rsid w:val="5EB230A3"/>
    <w:rsid w:val="5EC66B89"/>
    <w:rsid w:val="5ED73667"/>
    <w:rsid w:val="5EF03EE7"/>
    <w:rsid w:val="5EF22C45"/>
    <w:rsid w:val="5F176484"/>
    <w:rsid w:val="5F245A85"/>
    <w:rsid w:val="5F4C2BBE"/>
    <w:rsid w:val="5F5A5A71"/>
    <w:rsid w:val="5F8267D5"/>
    <w:rsid w:val="5F862A71"/>
    <w:rsid w:val="5FD00F43"/>
    <w:rsid w:val="5FE62886"/>
    <w:rsid w:val="5FE77D8C"/>
    <w:rsid w:val="5FE823AE"/>
    <w:rsid w:val="600D3BA7"/>
    <w:rsid w:val="602746BB"/>
    <w:rsid w:val="602D0E0A"/>
    <w:rsid w:val="606067A7"/>
    <w:rsid w:val="6078456A"/>
    <w:rsid w:val="60CE4ABA"/>
    <w:rsid w:val="61115D96"/>
    <w:rsid w:val="6142443C"/>
    <w:rsid w:val="614C01E1"/>
    <w:rsid w:val="616C2F18"/>
    <w:rsid w:val="616E185C"/>
    <w:rsid w:val="617A708C"/>
    <w:rsid w:val="61A6243F"/>
    <w:rsid w:val="61C70674"/>
    <w:rsid w:val="61D50A45"/>
    <w:rsid w:val="61E16260"/>
    <w:rsid w:val="620C267E"/>
    <w:rsid w:val="623023F7"/>
    <w:rsid w:val="62651E9F"/>
    <w:rsid w:val="62886207"/>
    <w:rsid w:val="62932805"/>
    <w:rsid w:val="62982C92"/>
    <w:rsid w:val="62B61157"/>
    <w:rsid w:val="62E54889"/>
    <w:rsid w:val="62EC4114"/>
    <w:rsid w:val="62F72F9A"/>
    <w:rsid w:val="631956C7"/>
    <w:rsid w:val="63197A16"/>
    <w:rsid w:val="63314FBD"/>
    <w:rsid w:val="633F3B35"/>
    <w:rsid w:val="634A2F51"/>
    <w:rsid w:val="635B169D"/>
    <w:rsid w:val="6387782D"/>
    <w:rsid w:val="638B22A8"/>
    <w:rsid w:val="6398540F"/>
    <w:rsid w:val="63A8751B"/>
    <w:rsid w:val="63BD46B1"/>
    <w:rsid w:val="63EC6280"/>
    <w:rsid w:val="64213B12"/>
    <w:rsid w:val="64510481"/>
    <w:rsid w:val="64562295"/>
    <w:rsid w:val="649441CA"/>
    <w:rsid w:val="649E0E8B"/>
    <w:rsid w:val="64AE4AAC"/>
    <w:rsid w:val="64B8505D"/>
    <w:rsid w:val="64C659C6"/>
    <w:rsid w:val="64EE3F51"/>
    <w:rsid w:val="64EF71C0"/>
    <w:rsid w:val="652074D7"/>
    <w:rsid w:val="65586FB3"/>
    <w:rsid w:val="65C27B45"/>
    <w:rsid w:val="65C3328E"/>
    <w:rsid w:val="65C854C3"/>
    <w:rsid w:val="65FE3744"/>
    <w:rsid w:val="665230E1"/>
    <w:rsid w:val="66573403"/>
    <w:rsid w:val="6679468F"/>
    <w:rsid w:val="66931426"/>
    <w:rsid w:val="66B52AA1"/>
    <w:rsid w:val="66CA7D4A"/>
    <w:rsid w:val="66D61192"/>
    <w:rsid w:val="66FC6330"/>
    <w:rsid w:val="670567BC"/>
    <w:rsid w:val="67494EF6"/>
    <w:rsid w:val="67710BFC"/>
    <w:rsid w:val="67724979"/>
    <w:rsid w:val="677532A3"/>
    <w:rsid w:val="678B4C1B"/>
    <w:rsid w:val="678F18EF"/>
    <w:rsid w:val="679B3863"/>
    <w:rsid w:val="67AC0BDA"/>
    <w:rsid w:val="67B709FA"/>
    <w:rsid w:val="67BC2878"/>
    <w:rsid w:val="67D911C2"/>
    <w:rsid w:val="680C6E1D"/>
    <w:rsid w:val="68147B69"/>
    <w:rsid w:val="684D7CD3"/>
    <w:rsid w:val="68696C11"/>
    <w:rsid w:val="68867BC3"/>
    <w:rsid w:val="6904500B"/>
    <w:rsid w:val="690B06A6"/>
    <w:rsid w:val="691D17C6"/>
    <w:rsid w:val="691D1CC7"/>
    <w:rsid w:val="69433D01"/>
    <w:rsid w:val="695D01E0"/>
    <w:rsid w:val="69A94835"/>
    <w:rsid w:val="69DF403D"/>
    <w:rsid w:val="69FD7D34"/>
    <w:rsid w:val="6A503577"/>
    <w:rsid w:val="6A50366A"/>
    <w:rsid w:val="6A7B2B14"/>
    <w:rsid w:val="6A7C65C1"/>
    <w:rsid w:val="6A831133"/>
    <w:rsid w:val="6A9B0C67"/>
    <w:rsid w:val="6A9C7FFF"/>
    <w:rsid w:val="6B0B0BB0"/>
    <w:rsid w:val="6B28228A"/>
    <w:rsid w:val="6B3277BE"/>
    <w:rsid w:val="6B4E646B"/>
    <w:rsid w:val="6B5015F8"/>
    <w:rsid w:val="6B5951E1"/>
    <w:rsid w:val="6B61673A"/>
    <w:rsid w:val="6B82343D"/>
    <w:rsid w:val="6B863F8C"/>
    <w:rsid w:val="6B9667A8"/>
    <w:rsid w:val="6BB677E4"/>
    <w:rsid w:val="6BD1272D"/>
    <w:rsid w:val="6C107E2C"/>
    <w:rsid w:val="6C1D7711"/>
    <w:rsid w:val="6C33202D"/>
    <w:rsid w:val="6C486338"/>
    <w:rsid w:val="6C4F495A"/>
    <w:rsid w:val="6C6F3887"/>
    <w:rsid w:val="6C787CD6"/>
    <w:rsid w:val="6C8466ED"/>
    <w:rsid w:val="6C8C078B"/>
    <w:rsid w:val="6C8C4A68"/>
    <w:rsid w:val="6C9A56E0"/>
    <w:rsid w:val="6CD3438A"/>
    <w:rsid w:val="6CF40DCC"/>
    <w:rsid w:val="6CF60DC1"/>
    <w:rsid w:val="6D085C7A"/>
    <w:rsid w:val="6D1C5252"/>
    <w:rsid w:val="6D3F5496"/>
    <w:rsid w:val="6D4E4275"/>
    <w:rsid w:val="6D4E76D7"/>
    <w:rsid w:val="6D7A470D"/>
    <w:rsid w:val="6D9D5488"/>
    <w:rsid w:val="6DA02882"/>
    <w:rsid w:val="6DA71E62"/>
    <w:rsid w:val="6DAB4B50"/>
    <w:rsid w:val="6DAC4B95"/>
    <w:rsid w:val="6DBD2F1C"/>
    <w:rsid w:val="6DEF5396"/>
    <w:rsid w:val="6E137219"/>
    <w:rsid w:val="6E1F40EF"/>
    <w:rsid w:val="6E532867"/>
    <w:rsid w:val="6E5C158C"/>
    <w:rsid w:val="6E72746A"/>
    <w:rsid w:val="6E8B48F3"/>
    <w:rsid w:val="6EA12D56"/>
    <w:rsid w:val="6EA63CDB"/>
    <w:rsid w:val="6EB50A24"/>
    <w:rsid w:val="6EC20943"/>
    <w:rsid w:val="6EDE3DB8"/>
    <w:rsid w:val="6EE15841"/>
    <w:rsid w:val="6EFF1698"/>
    <w:rsid w:val="6F0C014F"/>
    <w:rsid w:val="6F0E6095"/>
    <w:rsid w:val="6F110F40"/>
    <w:rsid w:val="6F1A61D0"/>
    <w:rsid w:val="6F417873"/>
    <w:rsid w:val="6F4835AB"/>
    <w:rsid w:val="6F594D54"/>
    <w:rsid w:val="6F75386E"/>
    <w:rsid w:val="6F9166E1"/>
    <w:rsid w:val="6F9379F2"/>
    <w:rsid w:val="6FA67EF8"/>
    <w:rsid w:val="6FA82F2F"/>
    <w:rsid w:val="6FCB51CD"/>
    <w:rsid w:val="6FEB120E"/>
    <w:rsid w:val="704140A5"/>
    <w:rsid w:val="70434632"/>
    <w:rsid w:val="704E50A2"/>
    <w:rsid w:val="7053252E"/>
    <w:rsid w:val="706E2E83"/>
    <w:rsid w:val="70725ED5"/>
    <w:rsid w:val="70782618"/>
    <w:rsid w:val="7078370A"/>
    <w:rsid w:val="709D655D"/>
    <w:rsid w:val="70E92BC9"/>
    <w:rsid w:val="70FB11D1"/>
    <w:rsid w:val="710F351A"/>
    <w:rsid w:val="711F76EA"/>
    <w:rsid w:val="71204889"/>
    <w:rsid w:val="712F6814"/>
    <w:rsid w:val="71370AC5"/>
    <w:rsid w:val="7149181B"/>
    <w:rsid w:val="71874506"/>
    <w:rsid w:val="71921650"/>
    <w:rsid w:val="71955614"/>
    <w:rsid w:val="719D5850"/>
    <w:rsid w:val="71A57D4C"/>
    <w:rsid w:val="71A74D9D"/>
    <w:rsid w:val="71D074AE"/>
    <w:rsid w:val="71D16621"/>
    <w:rsid w:val="71E32B34"/>
    <w:rsid w:val="71FA1485"/>
    <w:rsid w:val="71FB7940"/>
    <w:rsid w:val="721067DC"/>
    <w:rsid w:val="726D4E61"/>
    <w:rsid w:val="72A12151"/>
    <w:rsid w:val="72AF1A83"/>
    <w:rsid w:val="72CC6CAB"/>
    <w:rsid w:val="73150C49"/>
    <w:rsid w:val="73240C13"/>
    <w:rsid w:val="732679E1"/>
    <w:rsid w:val="734C46FC"/>
    <w:rsid w:val="735B04C7"/>
    <w:rsid w:val="740B2687"/>
    <w:rsid w:val="743703BA"/>
    <w:rsid w:val="74443FA3"/>
    <w:rsid w:val="747570EF"/>
    <w:rsid w:val="747F5749"/>
    <w:rsid w:val="74A118EE"/>
    <w:rsid w:val="74B33BE2"/>
    <w:rsid w:val="74C47470"/>
    <w:rsid w:val="74EE0377"/>
    <w:rsid w:val="750B4F27"/>
    <w:rsid w:val="751B76C3"/>
    <w:rsid w:val="75353180"/>
    <w:rsid w:val="753766C8"/>
    <w:rsid w:val="75493768"/>
    <w:rsid w:val="755071F2"/>
    <w:rsid w:val="75560CF3"/>
    <w:rsid w:val="75664477"/>
    <w:rsid w:val="75A938EC"/>
    <w:rsid w:val="75AF02CA"/>
    <w:rsid w:val="75BC49BC"/>
    <w:rsid w:val="75E34615"/>
    <w:rsid w:val="75FC22C1"/>
    <w:rsid w:val="76037B33"/>
    <w:rsid w:val="7617256B"/>
    <w:rsid w:val="76292398"/>
    <w:rsid w:val="76470EDB"/>
    <w:rsid w:val="765B467D"/>
    <w:rsid w:val="7663674E"/>
    <w:rsid w:val="766D79C1"/>
    <w:rsid w:val="76906A1F"/>
    <w:rsid w:val="76A82CB4"/>
    <w:rsid w:val="76A934C6"/>
    <w:rsid w:val="76B06221"/>
    <w:rsid w:val="77540243"/>
    <w:rsid w:val="776B2153"/>
    <w:rsid w:val="776D48FA"/>
    <w:rsid w:val="7773730D"/>
    <w:rsid w:val="77816EFF"/>
    <w:rsid w:val="77927CE9"/>
    <w:rsid w:val="77993ACE"/>
    <w:rsid w:val="77A870B9"/>
    <w:rsid w:val="77AD31C5"/>
    <w:rsid w:val="77B645EC"/>
    <w:rsid w:val="77B94F26"/>
    <w:rsid w:val="77D90137"/>
    <w:rsid w:val="77FF1267"/>
    <w:rsid w:val="784D7AAA"/>
    <w:rsid w:val="78542AA8"/>
    <w:rsid w:val="786567E5"/>
    <w:rsid w:val="78734D30"/>
    <w:rsid w:val="7883510B"/>
    <w:rsid w:val="789711DE"/>
    <w:rsid w:val="78C6187A"/>
    <w:rsid w:val="78CF3B39"/>
    <w:rsid w:val="78F2219D"/>
    <w:rsid w:val="7912221C"/>
    <w:rsid w:val="791405DB"/>
    <w:rsid w:val="791537BA"/>
    <w:rsid w:val="7949054B"/>
    <w:rsid w:val="79562AD9"/>
    <w:rsid w:val="796B76D8"/>
    <w:rsid w:val="7971606B"/>
    <w:rsid w:val="797B2D87"/>
    <w:rsid w:val="797B7C96"/>
    <w:rsid w:val="79D83522"/>
    <w:rsid w:val="79E511CB"/>
    <w:rsid w:val="79E653A4"/>
    <w:rsid w:val="79F72493"/>
    <w:rsid w:val="7A0D4F33"/>
    <w:rsid w:val="7A2B5D26"/>
    <w:rsid w:val="7A517A5E"/>
    <w:rsid w:val="7A5909D3"/>
    <w:rsid w:val="7A8442C8"/>
    <w:rsid w:val="7A952411"/>
    <w:rsid w:val="7AE12865"/>
    <w:rsid w:val="7AE841D7"/>
    <w:rsid w:val="7AEA5013"/>
    <w:rsid w:val="7AF92F45"/>
    <w:rsid w:val="7B134FB0"/>
    <w:rsid w:val="7B2926D6"/>
    <w:rsid w:val="7B3D643D"/>
    <w:rsid w:val="7B4D28A1"/>
    <w:rsid w:val="7B5030D5"/>
    <w:rsid w:val="7B5A42C0"/>
    <w:rsid w:val="7B741282"/>
    <w:rsid w:val="7B770C6B"/>
    <w:rsid w:val="7B7844A9"/>
    <w:rsid w:val="7B8F0562"/>
    <w:rsid w:val="7B981359"/>
    <w:rsid w:val="7BAF13B1"/>
    <w:rsid w:val="7BB142C7"/>
    <w:rsid w:val="7BBD0896"/>
    <w:rsid w:val="7BE00A06"/>
    <w:rsid w:val="7BF62C30"/>
    <w:rsid w:val="7C010EB7"/>
    <w:rsid w:val="7C0972AA"/>
    <w:rsid w:val="7C165EBE"/>
    <w:rsid w:val="7C174657"/>
    <w:rsid w:val="7C23048F"/>
    <w:rsid w:val="7C402E41"/>
    <w:rsid w:val="7C44379A"/>
    <w:rsid w:val="7C533657"/>
    <w:rsid w:val="7C5F30CC"/>
    <w:rsid w:val="7C946F43"/>
    <w:rsid w:val="7CBA55CE"/>
    <w:rsid w:val="7CD812E8"/>
    <w:rsid w:val="7CDF23CE"/>
    <w:rsid w:val="7CE45689"/>
    <w:rsid w:val="7D036989"/>
    <w:rsid w:val="7D063EE4"/>
    <w:rsid w:val="7D280309"/>
    <w:rsid w:val="7D290CB5"/>
    <w:rsid w:val="7D382FDD"/>
    <w:rsid w:val="7D4665A7"/>
    <w:rsid w:val="7D5213D0"/>
    <w:rsid w:val="7D773982"/>
    <w:rsid w:val="7D7D7A58"/>
    <w:rsid w:val="7DCC76C3"/>
    <w:rsid w:val="7DDC7503"/>
    <w:rsid w:val="7DF64C65"/>
    <w:rsid w:val="7E032835"/>
    <w:rsid w:val="7E0429B9"/>
    <w:rsid w:val="7E1150D6"/>
    <w:rsid w:val="7E2345A9"/>
    <w:rsid w:val="7E354A43"/>
    <w:rsid w:val="7E6850C1"/>
    <w:rsid w:val="7E6B47E6"/>
    <w:rsid w:val="7E77762F"/>
    <w:rsid w:val="7EA52264"/>
    <w:rsid w:val="7EC21B3C"/>
    <w:rsid w:val="7ECB589A"/>
    <w:rsid w:val="7ECD548D"/>
    <w:rsid w:val="7F232129"/>
    <w:rsid w:val="7F3E4371"/>
    <w:rsid w:val="7F4E37D4"/>
    <w:rsid w:val="7F7B01E8"/>
    <w:rsid w:val="7F7F1C85"/>
    <w:rsid w:val="7F8D199F"/>
    <w:rsid w:val="7FBD63B9"/>
    <w:rsid w:val="7FC63873"/>
    <w:rsid w:val="7FDB599C"/>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99" w:semiHidden="0"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jc w:val="center"/>
      <w:outlineLvl w:val="1"/>
    </w:pPr>
    <w:rPr>
      <w:rFonts w:ascii="黑体" w:hAnsi="黑体" w:eastAsia="仿宋"/>
      <w:b/>
      <w:color w:val="000000"/>
      <w:sz w:val="32"/>
      <w:szCs w:val="20"/>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List 2"/>
    <w:basedOn w:val="1"/>
    <w:qFormat/>
    <w:uiPriority w:val="99"/>
    <w:pPr>
      <w:ind w:left="100" w:leftChars="200" w:hanging="200" w:hangingChars="200"/>
    </w:pPr>
  </w:style>
  <w:style w:type="paragraph" w:styleId="5">
    <w:name w:val="List 3"/>
    <w:basedOn w:val="1"/>
    <w:autoRedefine/>
    <w:qFormat/>
    <w:uiPriority w:val="99"/>
    <w:pPr>
      <w:ind w:left="100" w:leftChars="400" w:hanging="200" w:hangingChars="200"/>
    </w:pPr>
    <w:rPr>
      <w:rFonts w:ascii="Times New Roman" w:hAnsi="Times New Roman"/>
    </w:rPr>
  </w:style>
  <w:style w:type="paragraph" w:styleId="6">
    <w:name w:val="toa heading"/>
    <w:basedOn w:val="1"/>
    <w:next w:val="1"/>
    <w:autoRedefine/>
    <w:qFormat/>
    <w:uiPriority w:val="0"/>
    <w:pPr>
      <w:spacing w:before="120" w:beforeLines="0"/>
    </w:pPr>
    <w:rPr>
      <w:rFonts w:ascii="Arial" w:hAnsi="Arial"/>
      <w:sz w:val="24"/>
      <w:szCs w:val="20"/>
    </w:rPr>
  </w:style>
  <w:style w:type="paragraph" w:styleId="7">
    <w:name w:val="annotation text"/>
    <w:basedOn w:val="1"/>
    <w:autoRedefine/>
    <w:semiHidden/>
    <w:unhideWhenUsed/>
    <w:qFormat/>
    <w:uiPriority w:val="99"/>
    <w:pPr>
      <w:jc w:val="left"/>
    </w:pPr>
  </w:style>
  <w:style w:type="paragraph" w:styleId="8">
    <w:name w:val="Body Text"/>
    <w:basedOn w:val="1"/>
    <w:next w:val="1"/>
    <w:autoRedefine/>
    <w:qFormat/>
    <w:uiPriority w:val="99"/>
    <w:pPr>
      <w:spacing w:after="120"/>
    </w:pPr>
    <w:rPr>
      <w:rFonts w:ascii="Times New Roman" w:hAnsi="Times New Roman"/>
    </w:rPr>
  </w:style>
  <w:style w:type="paragraph" w:styleId="9">
    <w:name w:val="Body Text Indent"/>
    <w:basedOn w:val="1"/>
    <w:link w:val="31"/>
    <w:autoRedefine/>
    <w:semiHidden/>
    <w:unhideWhenUsed/>
    <w:qFormat/>
    <w:uiPriority w:val="99"/>
    <w:pPr>
      <w:spacing w:after="120"/>
      <w:ind w:left="420" w:leftChars="200"/>
    </w:pPr>
  </w:style>
  <w:style w:type="paragraph" w:styleId="10">
    <w:name w:val="Plain Text"/>
    <w:basedOn w:val="1"/>
    <w:link w:val="27"/>
    <w:autoRedefine/>
    <w:qFormat/>
    <w:uiPriority w:val="0"/>
    <w:pPr>
      <w:spacing w:line="360" w:lineRule="auto"/>
    </w:pPr>
    <w:rPr>
      <w:rFonts w:ascii="宋体" w:hAnsi="Courier New"/>
      <w:sz w:val="24"/>
      <w:szCs w:val="20"/>
    </w:rPr>
  </w:style>
  <w:style w:type="paragraph" w:styleId="11">
    <w:name w:val="Balloon Text"/>
    <w:basedOn w:val="1"/>
    <w:link w:val="30"/>
    <w:autoRedefine/>
    <w:semiHidden/>
    <w:unhideWhenUsed/>
    <w:qFormat/>
    <w:uiPriority w:val="99"/>
    <w:rPr>
      <w:sz w:val="18"/>
      <w:szCs w:val="18"/>
    </w:rPr>
  </w:style>
  <w:style w:type="paragraph" w:styleId="12">
    <w:name w:val="footer"/>
    <w:basedOn w:val="1"/>
    <w:link w:val="29"/>
    <w:autoRedefine/>
    <w:unhideWhenUsed/>
    <w:qFormat/>
    <w:uiPriority w:val="99"/>
    <w:pPr>
      <w:tabs>
        <w:tab w:val="center" w:pos="4153"/>
        <w:tab w:val="right" w:pos="8306"/>
      </w:tabs>
      <w:snapToGrid w:val="0"/>
      <w:jc w:val="left"/>
    </w:pPr>
    <w:rPr>
      <w:sz w:val="18"/>
      <w:szCs w:val="18"/>
    </w:rPr>
  </w:style>
  <w:style w:type="paragraph" w:styleId="13">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6"/>
    <w:next w:val="1"/>
    <w:autoRedefine/>
    <w:qFormat/>
    <w:uiPriority w:val="0"/>
    <w:pPr>
      <w:tabs>
        <w:tab w:val="left" w:pos="180"/>
      </w:tabs>
      <w:spacing w:before="0" w:beforeLines="0" w:line="500" w:lineRule="exact"/>
      <w:ind w:firstLine="538" w:firstLineChars="234"/>
    </w:pPr>
    <w:rPr>
      <w:rFonts w:ascii="宋体" w:hAnsi="宋体" w:eastAsia="宋体" w:cs="Times New Roman"/>
    </w:rPr>
  </w:style>
  <w:style w:type="paragraph" w:styleId="15">
    <w:name w:val="toc 2"/>
    <w:basedOn w:val="1"/>
    <w:next w:val="1"/>
    <w:autoRedefine/>
    <w:qFormat/>
    <w:uiPriority w:val="39"/>
    <w:pPr>
      <w:ind w:left="210"/>
      <w:jc w:val="left"/>
    </w:pPr>
    <w:rPr>
      <w:rFonts w:ascii="宋体" w:hAnsi="宋体" w:cs="宋体"/>
      <w:smallCaps/>
      <w:sz w:val="20"/>
      <w:szCs w:val="20"/>
    </w:rPr>
  </w:style>
  <w:style w:type="paragraph" w:styleId="16">
    <w:name w:val="Normal (Web)"/>
    <w:basedOn w:val="1"/>
    <w:autoRedefine/>
    <w:qFormat/>
    <w:uiPriority w:val="99"/>
    <w:pPr>
      <w:widowControl/>
      <w:spacing w:before="100" w:beforeLines="0" w:beforeAutospacing="1" w:after="100" w:afterLines="0" w:afterAutospacing="1"/>
      <w:jc w:val="left"/>
    </w:pPr>
    <w:rPr>
      <w:rFonts w:ascii="宋体" w:hAnsi="宋体" w:cs="宋体"/>
      <w:kern w:val="0"/>
      <w:sz w:val="24"/>
    </w:rPr>
  </w:style>
  <w:style w:type="paragraph" w:styleId="17">
    <w:name w:val="Body Text First Indent 2"/>
    <w:basedOn w:val="9"/>
    <w:link w:val="32"/>
    <w:autoRedefine/>
    <w:qFormat/>
    <w:uiPriority w:val="0"/>
    <w:pPr>
      <w:spacing w:after="0"/>
      <w:ind w:left="0" w:leftChars="0" w:firstLine="420" w:firstLineChars="200"/>
      <w:jc w:val="left"/>
    </w:pPr>
    <w:rPr>
      <w:rFonts w:ascii="宋体" w:hAnsi="Times New Roman"/>
      <w:sz w:val="28"/>
      <w:szCs w:val="20"/>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autoRedefine/>
    <w:qFormat/>
    <w:uiPriority w:val="22"/>
    <w:rPr>
      <w:b/>
      <w:bCs/>
      <w:sz w:val="32"/>
      <w:szCs w:val="21"/>
    </w:rPr>
  </w:style>
  <w:style w:type="character" w:styleId="22">
    <w:name w:val="page number"/>
    <w:autoRedefine/>
    <w:qFormat/>
    <w:uiPriority w:val="0"/>
  </w:style>
  <w:style w:type="character" w:styleId="23">
    <w:name w:val="Hyperlink"/>
    <w:basedOn w:val="20"/>
    <w:autoRedefine/>
    <w:unhideWhenUsed/>
    <w:qFormat/>
    <w:uiPriority w:val="99"/>
    <w:rPr>
      <w:color w:val="0563C1" w:themeColor="hyperlink"/>
      <w:u w:val="single"/>
      <w14:textFill>
        <w14:solidFill>
          <w14:schemeClr w14:val="hlink"/>
        </w14:solidFill>
      </w14:textFill>
    </w:rPr>
  </w:style>
  <w:style w:type="paragraph" w:customStyle="1" w:styleId="24">
    <w:name w:val="toc 6"/>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25">
    <w:name w:val="List Paragraph"/>
    <w:basedOn w:val="1"/>
    <w:autoRedefine/>
    <w:qFormat/>
    <w:uiPriority w:val="34"/>
    <w:pPr>
      <w:widowControl/>
      <w:ind w:firstLine="420" w:firstLineChars="200"/>
      <w:jc w:val="left"/>
    </w:pPr>
    <w:rPr>
      <w:rFonts w:ascii="宋体" w:hAnsi="宋体" w:cs="宋体"/>
      <w:kern w:val="0"/>
      <w:sz w:val="24"/>
    </w:rPr>
  </w:style>
  <w:style w:type="paragraph" w:customStyle="1" w:styleId="26">
    <w:name w:val="样式 首行缩进:  2 字符"/>
    <w:basedOn w:val="1"/>
    <w:autoRedefine/>
    <w:qFormat/>
    <w:uiPriority w:val="0"/>
    <w:pPr>
      <w:spacing w:line="360" w:lineRule="auto"/>
      <w:ind w:firstLine="560" w:firstLineChars="200"/>
    </w:pPr>
    <w:rPr>
      <w:rFonts w:eastAsia="仿宋_GB2312"/>
      <w:sz w:val="24"/>
      <w:szCs w:val="20"/>
    </w:rPr>
  </w:style>
  <w:style w:type="character" w:customStyle="1" w:styleId="27">
    <w:name w:val="纯文本 Char"/>
    <w:basedOn w:val="20"/>
    <w:link w:val="10"/>
    <w:autoRedefine/>
    <w:qFormat/>
    <w:uiPriority w:val="0"/>
    <w:rPr>
      <w:rFonts w:ascii="宋体" w:hAnsi="Courier New" w:eastAsia="宋体" w:cs="Times New Roman"/>
      <w:sz w:val="24"/>
      <w:szCs w:val="20"/>
    </w:rPr>
  </w:style>
  <w:style w:type="character" w:customStyle="1" w:styleId="28">
    <w:name w:val="页眉 Char"/>
    <w:basedOn w:val="20"/>
    <w:link w:val="13"/>
    <w:autoRedefine/>
    <w:qFormat/>
    <w:uiPriority w:val="99"/>
    <w:rPr>
      <w:rFonts w:ascii="Calibri" w:hAnsi="Calibri" w:eastAsia="宋体" w:cs="Times New Roman"/>
      <w:sz w:val="18"/>
      <w:szCs w:val="18"/>
    </w:rPr>
  </w:style>
  <w:style w:type="character" w:customStyle="1" w:styleId="29">
    <w:name w:val="页脚 Char"/>
    <w:basedOn w:val="20"/>
    <w:link w:val="12"/>
    <w:autoRedefine/>
    <w:qFormat/>
    <w:uiPriority w:val="99"/>
    <w:rPr>
      <w:rFonts w:ascii="Calibri" w:hAnsi="Calibri" w:eastAsia="宋体" w:cs="Times New Roman"/>
      <w:sz w:val="18"/>
      <w:szCs w:val="18"/>
    </w:rPr>
  </w:style>
  <w:style w:type="character" w:customStyle="1" w:styleId="30">
    <w:name w:val="批注框文本 Char"/>
    <w:basedOn w:val="20"/>
    <w:link w:val="11"/>
    <w:autoRedefine/>
    <w:semiHidden/>
    <w:qFormat/>
    <w:uiPriority w:val="99"/>
    <w:rPr>
      <w:rFonts w:ascii="Calibri" w:hAnsi="Calibri" w:eastAsia="宋体" w:cs="Times New Roman"/>
      <w:sz w:val="18"/>
      <w:szCs w:val="18"/>
    </w:rPr>
  </w:style>
  <w:style w:type="character" w:customStyle="1" w:styleId="31">
    <w:name w:val="正文文本缩进 Char"/>
    <w:basedOn w:val="20"/>
    <w:link w:val="9"/>
    <w:autoRedefine/>
    <w:semiHidden/>
    <w:qFormat/>
    <w:uiPriority w:val="99"/>
    <w:rPr>
      <w:rFonts w:ascii="Calibri" w:hAnsi="Calibri" w:eastAsia="宋体" w:cs="Times New Roman"/>
      <w:kern w:val="2"/>
      <w:sz w:val="21"/>
      <w:szCs w:val="24"/>
    </w:rPr>
  </w:style>
  <w:style w:type="character" w:customStyle="1" w:styleId="32">
    <w:name w:val="正文首行缩进 2 Char"/>
    <w:basedOn w:val="31"/>
    <w:link w:val="17"/>
    <w:autoRedefine/>
    <w:qFormat/>
    <w:uiPriority w:val="0"/>
    <w:rPr>
      <w:rFonts w:ascii="宋体" w:hAnsi="Times New Roman" w:eastAsia="宋体" w:cs="Times New Roman"/>
      <w:kern w:val="2"/>
      <w:sz w:val="28"/>
      <w:szCs w:val="24"/>
    </w:rPr>
  </w:style>
  <w:style w:type="paragraph" w:customStyle="1" w:styleId="33">
    <w:name w:val="首行缩进"/>
    <w:basedOn w:val="1"/>
    <w:next w:val="1"/>
    <w:autoRedefine/>
    <w:qFormat/>
    <w:uiPriority w:val="0"/>
    <w:pPr>
      <w:ind w:firstLine="480" w:firstLineChars="200"/>
    </w:pPr>
    <w:rPr>
      <w:lang w:val="zh-CN"/>
    </w:rPr>
  </w:style>
  <w:style w:type="paragraph" w:customStyle="1" w:styleId="3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Other|1"/>
    <w:basedOn w:val="1"/>
    <w:autoRedefine/>
    <w:qFormat/>
    <w:uiPriority w:val="0"/>
    <w:pPr>
      <w:widowControl w:val="0"/>
      <w:shd w:val="clear" w:color="auto" w:fill="auto"/>
      <w:ind w:firstLine="270"/>
    </w:pPr>
    <w:rPr>
      <w:rFonts w:ascii="宋体" w:hAnsi="宋体" w:eastAsia="宋体" w:cs="宋体"/>
      <w:sz w:val="20"/>
      <w:szCs w:val="20"/>
      <w:u w:val="none"/>
      <w:shd w:val="clear" w:color="auto" w:fill="auto"/>
      <w:lang w:val="zh-TW" w:eastAsia="zh-TW" w:bidi="zh-TW"/>
    </w:rPr>
  </w:style>
  <w:style w:type="paragraph" w:customStyle="1" w:styleId="36">
    <w:name w:val="默认"/>
    <w:autoRedefine/>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u w:color="000000"/>
      <w:lang w:val="zh-TW" w:eastAsia="zh-TW" w:bidi="ar-SA"/>
    </w:rPr>
  </w:style>
  <w:style w:type="paragraph" w:customStyle="1" w:styleId="37">
    <w:name w:val="页眉与页脚"/>
    <w:autoRedefine/>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table" w:customStyle="1" w:styleId="38">
    <w:name w:val="Table Normal"/>
    <w:autoRedefine/>
    <w:semiHidden/>
    <w:unhideWhenUsed/>
    <w:qFormat/>
    <w:uiPriority w:val="0"/>
    <w:tblPr>
      <w:tblCellMar>
        <w:top w:w="0" w:type="dxa"/>
        <w:left w:w="0" w:type="dxa"/>
        <w:bottom w:w="0" w:type="dxa"/>
        <w:right w:w="0" w:type="dxa"/>
      </w:tblCellMar>
    </w:tblPr>
  </w:style>
  <w:style w:type="paragraph" w:customStyle="1" w:styleId="39">
    <w:name w:val="Table Text"/>
    <w:basedOn w:val="1"/>
    <w:autoRedefine/>
    <w:semiHidden/>
    <w:qFormat/>
    <w:uiPriority w:val="0"/>
    <w:rPr>
      <w:rFonts w:ascii="宋体" w:hAnsi="宋体" w:eastAsia="宋体" w:cs="宋体"/>
      <w:sz w:val="20"/>
      <w:szCs w:val="20"/>
      <w:lang w:val="en-US" w:eastAsia="en-US" w:bidi="ar-SA"/>
    </w:rPr>
  </w:style>
  <w:style w:type="paragraph" w:customStyle="1" w:styleId="40">
    <w:name w:val="p0"/>
    <w:basedOn w:val="1"/>
    <w:autoRedefine/>
    <w:qFormat/>
    <w:uiPriority w:val="0"/>
    <w:pPr>
      <w:widowControl/>
    </w:pPr>
    <w:rPr>
      <w:kern w:val="0"/>
    </w:rPr>
  </w:style>
  <w:style w:type="paragraph" w:customStyle="1" w:styleId="41">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54</Pages>
  <Words>17601</Words>
  <Characters>18384</Characters>
  <Lines>168</Lines>
  <Paragraphs>47</Paragraphs>
  <TotalTime>23</TotalTime>
  <ScaleCrop>false</ScaleCrop>
  <LinksUpToDate>false</LinksUpToDate>
  <CharactersWithSpaces>18582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﹎記丅倖偪Di點滴</cp:lastModifiedBy>
  <cp:lastPrinted>2024-05-16T08:24:00Z</cp:lastPrinted>
  <dcterms:modified xsi:type="dcterms:W3CDTF">2024-11-21T08:39:53Z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53E435F7ECF346B4AB80D00E13E6C6D0_13</vt:lpwstr>
  </property>
</Properties>
</file>