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44"/>
          <w:szCs w:val="36"/>
          <w:highlight w:val="none"/>
          <w:lang w:eastAsia="zh-CN"/>
        </w:rPr>
      </w:pPr>
      <w:r>
        <w:rPr>
          <w:rFonts w:hint="eastAsia" w:ascii="仿宋" w:hAnsi="仿宋" w:eastAsia="仿宋" w:cs="宋体"/>
          <w:b/>
          <w:bCs/>
          <w:kern w:val="0"/>
          <w:sz w:val="44"/>
          <w:szCs w:val="36"/>
          <w:highlight w:val="none"/>
          <w:lang w:eastAsia="zh-CN"/>
        </w:rPr>
        <w:t>微山县人民医院中药煎药机等医疗设备采购项目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宋体"/>
          <w:b/>
          <w:bCs/>
          <w:kern w:val="0"/>
          <w:sz w:val="6"/>
          <w:szCs w:val="2"/>
          <w:highlight w:val="none"/>
          <w:lang w:eastAsia="zh-CN"/>
        </w:rPr>
      </w:pPr>
    </w:p>
    <w:p>
      <w:pPr>
        <w:pStyle w:val="25"/>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7"/>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WSND-2024-CG024</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2024年7月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微山县人民医院中药煎药机等医疗设备采购项目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w:t>
      </w:r>
      <w:bookmarkStart w:id="11" w:name="_GoBack"/>
      <w:bookmarkEnd w:id="11"/>
      <w:r>
        <w:rPr>
          <w:rFonts w:hint="eastAsia" w:ascii="仿宋" w:hAnsi="仿宋" w:eastAsia="仿宋" w:cs="Arial"/>
          <w:sz w:val="28"/>
          <w:szCs w:val="28"/>
          <w:highlight w:val="none"/>
          <w:lang w:val="en-US" w:eastAsia="zh-CN"/>
        </w:rPr>
        <w:t xml:space="preserve">  联系电话：15563760277</w:t>
      </w:r>
      <w:r>
        <w:rPr>
          <w:rFonts w:hint="eastAsia" w:ascii="仿宋" w:hAnsi="仿宋" w:eastAsia="仿宋" w:cs="Times New Roman"/>
          <w:kern w:val="0"/>
          <w:sz w:val="28"/>
          <w:szCs w:val="24"/>
          <w:highlight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微山县人民医院中药煎药机等医疗设备采购项目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：WSND-2024-CG024</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val="en-US" w:eastAsia="zh-CN"/>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中药煎药机</w:t>
            </w:r>
          </w:p>
        </w:tc>
        <w:tc>
          <w:tcPr>
            <w:tcW w:w="62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B</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经皮黄疸仪</w:t>
            </w:r>
          </w:p>
        </w:tc>
        <w:tc>
          <w:tcPr>
            <w:tcW w:w="62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val="en-US" w:eastAsia="zh-CN"/>
              </w:rPr>
            </w:pP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宋体"/>
                <w:spacing w:val="-20"/>
                <w:sz w:val="28"/>
                <w:szCs w:val="28"/>
                <w:highlight w:val="none"/>
                <w:lang w:val="en-US" w:eastAsia="zh-CN"/>
              </w:rPr>
            </w:pPr>
            <w:r>
              <w:rPr>
                <w:rFonts w:hint="eastAsia" w:ascii="仿宋" w:hAnsi="仿宋" w:eastAsia="仿宋" w:cs="宋体"/>
                <w:color w:val="000000"/>
                <w:kern w:val="0"/>
                <w:sz w:val="28"/>
                <w:szCs w:val="28"/>
                <w:highlight w:val="none"/>
                <w:lang w:val="en-US" w:eastAsia="zh-CN"/>
              </w:rPr>
              <w:t>2万元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2024年7月</w:t>
      </w:r>
      <w:r>
        <w:rPr>
          <w:rFonts w:hint="eastAsia" w:ascii="仿宋" w:hAnsi="仿宋" w:eastAsia="仿宋" w:cs="Arial"/>
          <w:color w:val="auto"/>
          <w:sz w:val="28"/>
          <w:szCs w:val="28"/>
          <w:highlight w:val="none"/>
          <w:lang w:val="en-US" w:eastAsia="zh-CN"/>
        </w:rPr>
        <w:t>18</w:t>
      </w:r>
      <w:r>
        <w:rPr>
          <w:rFonts w:hint="eastAsia" w:ascii="仿宋" w:hAnsi="仿宋" w:eastAsia="仿宋" w:cs="Arial"/>
          <w:color w:val="auto"/>
          <w:sz w:val="28"/>
          <w:szCs w:val="28"/>
          <w:highlight w:val="none"/>
          <w:lang w:eastAsia="zh-CN"/>
        </w:rPr>
        <w:t>日至2024年7月</w:t>
      </w:r>
      <w:r>
        <w:rPr>
          <w:rFonts w:hint="eastAsia" w:ascii="仿宋" w:hAnsi="仿宋" w:eastAsia="仿宋" w:cs="Arial"/>
          <w:color w:val="auto"/>
          <w:sz w:val="28"/>
          <w:szCs w:val="28"/>
          <w:highlight w:val="none"/>
          <w:lang w:val="en-US" w:eastAsia="zh-CN"/>
        </w:rPr>
        <w:t>24</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w:t>
      </w:r>
      <w:r>
        <w:rPr>
          <w:rFonts w:hint="eastAsia" w:ascii="仿宋" w:hAnsi="仿宋" w:eastAsia="仿宋"/>
          <w:sz w:val="28"/>
          <w:highlight w:val="none"/>
        </w:rPr>
        <w:t>生产厂家授权书</w:t>
      </w:r>
      <w:r>
        <w:rPr>
          <w:rFonts w:hint="eastAsia" w:ascii="仿宋" w:hAnsi="仿宋" w:eastAsia="仿宋"/>
          <w:sz w:val="28"/>
          <w:highlight w:val="none"/>
          <w:lang w:val="en-US" w:eastAsia="zh-CN"/>
        </w:rPr>
        <w:t>复印件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2024年7月</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分至2024年7月</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2024年7月</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微山县人民医院中药煎药机等医疗设备采购项目，</w:t>
            </w:r>
            <w:r>
              <w:rPr>
                <w:rFonts w:hint="eastAsia" w:ascii="仿宋" w:hAnsi="仿宋" w:eastAsia="仿宋"/>
                <w:bCs/>
                <w:sz w:val="28"/>
                <w:szCs w:val="28"/>
                <w:highlight w:val="none"/>
                <w:lang w:val="en-US" w:eastAsia="zh-CN"/>
              </w:rPr>
              <w:t>主要内容为：采购便携式睡眠检测仪2套等内容，</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A包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2.5万元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B包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2万元</w:t>
            </w:r>
            <w:r>
              <w:rPr>
                <w:rFonts w:hint="eastAsia" w:ascii="仿宋" w:hAnsi="仿宋" w:eastAsia="仿宋" w:cs="宋体"/>
                <w:b/>
                <w:sz w:val="28"/>
                <w:szCs w:val="28"/>
                <w:highlight w:val="none"/>
              </w:rPr>
              <w:t xml:space="preserve"> </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2024年7月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22</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2024年7月</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0"/>
        <w:spacing w:line="400" w:lineRule="exact"/>
        <w:ind w:firstLine="840" w:firstLineChars="300"/>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A包采</w:t>
      </w:r>
      <w:r>
        <w:rPr>
          <w:rFonts w:hint="eastAsia" w:ascii="仿宋" w:hAnsi="仿宋" w:eastAsia="仿宋"/>
          <w:b/>
          <w:bCs/>
          <w:sz w:val="28"/>
          <w:szCs w:val="28"/>
          <w:highlight w:val="none"/>
          <w:lang w:val="en-US" w:eastAsia="zh-CN"/>
        </w:rPr>
        <w:t>购控制价：2.5万元</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val="0"/>
          <w:sz w:val="28"/>
          <w:szCs w:val="28"/>
          <w:highlight w:val="none"/>
          <w:lang w:val="en-US" w:eastAsia="zh-CN"/>
        </w:rPr>
        <w:t>B包采</w:t>
      </w:r>
      <w:r>
        <w:rPr>
          <w:rFonts w:hint="eastAsia" w:ascii="仿宋" w:hAnsi="仿宋" w:eastAsia="仿宋"/>
          <w:b/>
          <w:bCs/>
          <w:sz w:val="28"/>
          <w:szCs w:val="28"/>
          <w:highlight w:val="none"/>
          <w:lang w:val="en-US" w:eastAsia="zh-CN"/>
        </w:rPr>
        <w:t xml:space="preserve">购控制价：2万元 </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2024年7月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1、根据供应商所提供设备与采购文件规定的规格、参数等全部要求的符合情况打分，全部符合或优于采购文件要求的得20分，每有一项参数负偏离，在20分基础上扣减2分，扣完为止；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2、根据所报产品的可操控性进行综合打分，完全符合采购文件要求，部分内容优于采购文件要求的得15分，每存在一处不足或不合理的扣1分，扣完为止，缺项不得分。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15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749"/>
        <w:gridCol w:w="1260"/>
        <w:gridCol w:w="96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76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中药煎药机</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76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经皮黄疸仪</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766" w:type="dxa"/>
            <w:vAlign w:val="center"/>
          </w:tcPr>
          <w:p>
            <w:pPr>
              <w:pStyle w:val="24"/>
              <w:numPr>
                <w:ilvl w:val="0"/>
                <w:numId w:val="0"/>
              </w:numPr>
              <w:ind w:left="0" w:leftChars="0" w:firstLine="0" w:firstLineChars="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2万元</w:t>
            </w:r>
          </w:p>
        </w:tc>
      </w:tr>
    </w:tbl>
    <w:p>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lang w:val="en-US" w:eastAsia="zh-CN" w:bidi="ar-SA"/>
        </w:rPr>
        <w:t>（二）</w:t>
      </w:r>
      <w:r>
        <w:rPr>
          <w:rFonts w:hint="eastAsia" w:ascii="仿宋" w:hAnsi="仿宋" w:eastAsia="仿宋" w:cs="仿宋"/>
          <w:sz w:val="28"/>
          <w:szCs w:val="28"/>
          <w:highlight w:val="none"/>
          <w:lang w:val="en-US" w:eastAsia="zh-CN"/>
        </w:rPr>
        <w:t>技术参数：</w:t>
      </w:r>
    </w:p>
    <w:p>
      <w:pPr>
        <w:pStyle w:val="24"/>
        <w:widowControl/>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A包中药煎药机技术参数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一、煎药机规格及参数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 煎药机以玻璃、不锈钢材料制作的器皿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2.数字化总线控制，液晶数字化显示，设计先进，性能稳定。煎药和包装全自动操作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3.煎药包装一体化，玻璃缸锅体</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4.可同时煎三种不同药，水开后大、中、小火候可任意转换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5.密闭回气，先煎后下，无药味挥发功能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6.具有两煎和浓缩，充分提取药的有效成分，具有防干烧功能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7.具有定时设定控制功能，控制精度更高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8、具有蒸空挤压药渣，及药渣分离功能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9．一次煎药量(付)</w:t>
      </w:r>
      <w:r>
        <w:rPr>
          <w:rFonts w:hint="eastAsia" w:ascii="宋体" w:hAnsi="宋体" w:eastAsia="宋体" w:cs="宋体"/>
          <w:bCs/>
          <w:sz w:val="28"/>
          <w:szCs w:val="28"/>
        </w:rPr>
        <w:t>≥</w:t>
      </w:r>
      <w:r>
        <w:rPr>
          <w:rFonts w:hint="eastAsia" w:ascii="仿宋" w:hAnsi="仿宋" w:eastAsia="仿宋" w:cs="仿宋"/>
          <w:bCs/>
          <w:sz w:val="28"/>
          <w:szCs w:val="28"/>
        </w:rPr>
        <w:t>24</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10．煎药锅容量(ml)</w:t>
      </w:r>
      <w:r>
        <w:rPr>
          <w:rFonts w:hint="eastAsia" w:ascii="宋体" w:hAnsi="宋体" w:eastAsia="宋体" w:cs="宋体"/>
          <w:bCs/>
          <w:sz w:val="28"/>
          <w:szCs w:val="28"/>
        </w:rPr>
        <w:t>≥</w:t>
      </w:r>
      <w:r>
        <w:rPr>
          <w:rFonts w:hint="eastAsia" w:ascii="仿宋" w:hAnsi="仿宋" w:eastAsia="仿宋" w:cs="仿宋"/>
          <w:bCs/>
          <w:color w:val="000000"/>
          <w:sz w:val="28"/>
          <w:szCs w:val="28"/>
        </w:rPr>
        <w:t>13000×3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11．煎药功率( W)</w:t>
      </w:r>
      <w:r>
        <w:rPr>
          <w:rFonts w:hint="eastAsia" w:ascii="仿宋" w:hAnsi="仿宋" w:eastAsia="仿宋" w:cs="仿宋"/>
          <w:bCs/>
          <w:sz w:val="28"/>
          <w:szCs w:val="28"/>
        </w:rPr>
        <w:tab/>
      </w:r>
      <w:r>
        <w:rPr>
          <w:rFonts w:hint="eastAsia" w:ascii="宋体" w:hAnsi="宋体" w:eastAsia="宋体" w:cs="宋体"/>
          <w:bCs/>
          <w:sz w:val="28"/>
          <w:szCs w:val="28"/>
        </w:rPr>
        <w:t>≥</w:t>
      </w:r>
      <w:r>
        <w:rPr>
          <w:rFonts w:hint="eastAsia" w:ascii="仿宋" w:hAnsi="仿宋" w:eastAsia="仿宋" w:cs="仿宋"/>
          <w:bCs/>
          <w:sz w:val="28"/>
          <w:szCs w:val="28"/>
        </w:rPr>
        <w:t>1400×3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12.储存浓缩锅容量(ml)</w:t>
      </w:r>
      <w:r>
        <w:rPr>
          <w:rFonts w:hint="eastAsia" w:ascii="宋体" w:hAnsi="宋体" w:eastAsia="宋体" w:cs="宋体"/>
          <w:bCs/>
          <w:sz w:val="28"/>
          <w:szCs w:val="28"/>
        </w:rPr>
        <w:t>≥</w:t>
      </w:r>
      <w:r>
        <w:rPr>
          <w:rFonts w:hint="eastAsia" w:ascii="仿宋" w:hAnsi="仿宋" w:eastAsia="仿宋" w:cs="仿宋"/>
          <w:bCs/>
          <w:color w:val="000000"/>
          <w:sz w:val="28"/>
          <w:szCs w:val="28"/>
        </w:rPr>
        <w:t>13000×1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13.储存浓缩锅前方有瓶装阀，包装瓶装可两用，方便住院病人使用</w:t>
      </w:r>
    </w:p>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二、包装机规格及参数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1.包装容量：</w:t>
      </w:r>
      <w:r>
        <w:rPr>
          <w:rFonts w:hint="eastAsia" w:ascii="宋体" w:hAnsi="宋体" w:eastAsia="宋体" w:cs="宋体"/>
          <w:bCs/>
          <w:sz w:val="28"/>
          <w:szCs w:val="28"/>
        </w:rPr>
        <w:t>≥</w:t>
      </w:r>
      <w:r>
        <w:rPr>
          <w:rFonts w:hint="eastAsia" w:ascii="仿宋" w:hAnsi="仿宋" w:eastAsia="仿宋" w:cs="仿宋"/>
          <w:bCs/>
          <w:sz w:val="28"/>
          <w:szCs w:val="28"/>
        </w:rPr>
        <w:t>13L</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2.功率：800W</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3.电压：AC220V</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4.包装量：70-260ML以不高于5ML为变量可调，包装平均速度</w:t>
      </w:r>
      <w:r>
        <w:rPr>
          <w:rFonts w:hint="eastAsia" w:ascii="宋体" w:hAnsi="宋体" w:eastAsia="宋体" w:cs="宋体"/>
          <w:bCs/>
          <w:sz w:val="28"/>
          <w:szCs w:val="28"/>
        </w:rPr>
        <w:t>≥</w:t>
      </w:r>
      <w:r>
        <w:rPr>
          <w:rFonts w:hint="eastAsia" w:ascii="仿宋" w:hAnsi="仿宋" w:eastAsia="仿宋" w:cs="仿宋"/>
          <w:bCs/>
          <w:sz w:val="28"/>
          <w:szCs w:val="28"/>
        </w:rPr>
        <w:t>8袋/分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5.包装温度、包装量自动显示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6.封合温度数字化控制，可以设定自动恒定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7药液加热控制及浓缩功能，具有防干烧功能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8. 包装机控制温度分别为：一个上温度，一个下温度，方便调节袋子左右和上下温度。</w:t>
      </w:r>
    </w:p>
    <w:p>
      <w:pPr>
        <w:pStyle w:val="24"/>
        <w:widowControl/>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B包经皮黄疸仪技术参数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检测方法：光反射式，绿、蓝光比较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rPr>
        <w:t>显示方法：1．三位数字液晶显示</w:t>
      </w:r>
      <w:r>
        <w:rPr>
          <w:rFonts w:hint="eastAsia" w:ascii="仿宋" w:hAnsi="仿宋" w:eastAsia="仿宋" w:cs="仿宋"/>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2． mg／dl、μmol／l两个单位滚动显示</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3．可进行2-5次平均值测试</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4．错误数据可清除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测量误差：00~15±1</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16~25 ±1.5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光源：氙闪光灯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电源：AAA1.2Vx4镍氢充电电池组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每充足一次电能检测约800次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开启准备时间：小于3秒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重量g：约190（含电池组）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体积mm：161x53x30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充电器：输入220V 50Hz 3w</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输出6.0V 300mA DC</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校验盘：对白色屏（“00”）显示00.0或00.1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对黄色屏（“20”）显示20.0±1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使用环境：温度℃：5～40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相对湿度：≤90％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大气压力Kpa：86.0～106.0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电源：直流4.7V～6 V</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223950987"/>
      <w:bookmarkStart w:id="3" w:name="_Toc390245307"/>
      <w:bookmarkStart w:id="4" w:name="_Toc376519831"/>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spacing w:before="1248" w:beforeLines="400" w:after="1248" w:afterLines="400"/>
        <w:jc w:val="center"/>
        <w:rPr>
          <w:rStyle w:val="21"/>
          <w:rFonts w:hint="eastAsia" w:ascii="仿宋" w:hAnsi="仿宋" w:eastAsia="仿宋" w:cs="宋体"/>
          <w:kern w:val="0"/>
          <w:sz w:val="44"/>
          <w:szCs w:val="44"/>
          <w:highlight w:val="none"/>
        </w:rPr>
      </w:pP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单位：元/台</w:t>
            </w:r>
            <w:r>
              <w:rPr>
                <w:rStyle w:val="21"/>
                <w:rFonts w:hint="eastAsia" w:ascii="仿宋" w:hAnsi="仿宋" w:eastAsia="仿宋" w:cs="宋体"/>
                <w:b w:val="0"/>
                <w:kern w:val="0"/>
                <w:sz w:val="28"/>
                <w:highlight w:val="none"/>
                <w:lang w:val="en-US" w:eastAsia="zh-CN"/>
              </w:rPr>
              <w:t>）</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7"/>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87146970"/>
      <w:bookmarkStart w:id="8" w:name="_Toc101085381"/>
      <w:bookmarkStart w:id="9" w:name="_Toc252113258"/>
      <w:bookmarkStart w:id="10" w:name="_Toc318788780"/>
    </w:p>
    <w:bookmarkEnd w:id="7"/>
    <w:bookmarkEnd w:id="8"/>
    <w:bookmarkEnd w:id="9"/>
    <w:bookmarkEnd w:id="10"/>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2024年7月   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2024年7月</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E132C9"/>
    <w:rsid w:val="02F15DB1"/>
    <w:rsid w:val="03030002"/>
    <w:rsid w:val="03235F90"/>
    <w:rsid w:val="035830C3"/>
    <w:rsid w:val="036A4FDC"/>
    <w:rsid w:val="03715598"/>
    <w:rsid w:val="0385197E"/>
    <w:rsid w:val="03857865"/>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E576A"/>
    <w:rsid w:val="05E71362"/>
    <w:rsid w:val="06164245"/>
    <w:rsid w:val="069468A4"/>
    <w:rsid w:val="06B31E26"/>
    <w:rsid w:val="06CD3D8D"/>
    <w:rsid w:val="06E96BF0"/>
    <w:rsid w:val="06F82BCC"/>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82AB8"/>
    <w:rsid w:val="1D3940E1"/>
    <w:rsid w:val="1D4B5F27"/>
    <w:rsid w:val="1D502E45"/>
    <w:rsid w:val="1D5C34DC"/>
    <w:rsid w:val="1D610308"/>
    <w:rsid w:val="1D6F08F2"/>
    <w:rsid w:val="1D7F6EA4"/>
    <w:rsid w:val="1DA925DA"/>
    <w:rsid w:val="1DB13FF9"/>
    <w:rsid w:val="1DC660D7"/>
    <w:rsid w:val="1DE44895"/>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1340F1"/>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4731C4"/>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74B7D"/>
    <w:rsid w:val="26A83982"/>
    <w:rsid w:val="26AF6D66"/>
    <w:rsid w:val="26E83835"/>
    <w:rsid w:val="26F33300"/>
    <w:rsid w:val="26FA7C4E"/>
    <w:rsid w:val="270B6E00"/>
    <w:rsid w:val="27157808"/>
    <w:rsid w:val="272C3E98"/>
    <w:rsid w:val="27473175"/>
    <w:rsid w:val="2755194C"/>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30F86"/>
    <w:rsid w:val="2A8E3849"/>
    <w:rsid w:val="2A903DBE"/>
    <w:rsid w:val="2B2623E0"/>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E6B29"/>
    <w:rsid w:val="314A47BF"/>
    <w:rsid w:val="31744E96"/>
    <w:rsid w:val="317B0117"/>
    <w:rsid w:val="31996A45"/>
    <w:rsid w:val="31B138FC"/>
    <w:rsid w:val="31B75BA7"/>
    <w:rsid w:val="31C41087"/>
    <w:rsid w:val="31C94431"/>
    <w:rsid w:val="31CD3B21"/>
    <w:rsid w:val="31D60039"/>
    <w:rsid w:val="32236F6D"/>
    <w:rsid w:val="3251324A"/>
    <w:rsid w:val="325B0030"/>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A14F49"/>
    <w:rsid w:val="3DA54FFE"/>
    <w:rsid w:val="3DDC47DD"/>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7534DC"/>
    <w:rsid w:val="417C08FF"/>
    <w:rsid w:val="41A32A8B"/>
    <w:rsid w:val="41BC6E1C"/>
    <w:rsid w:val="41C51B37"/>
    <w:rsid w:val="41C76E8D"/>
    <w:rsid w:val="41E260C6"/>
    <w:rsid w:val="41EB5CF0"/>
    <w:rsid w:val="420339B6"/>
    <w:rsid w:val="42130FF8"/>
    <w:rsid w:val="425124B4"/>
    <w:rsid w:val="428241A6"/>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468D6"/>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A73FC"/>
    <w:rsid w:val="55DD27D3"/>
    <w:rsid w:val="55E566C9"/>
    <w:rsid w:val="55F144D1"/>
    <w:rsid w:val="55F179D2"/>
    <w:rsid w:val="55F6744C"/>
    <w:rsid w:val="56242755"/>
    <w:rsid w:val="563306BF"/>
    <w:rsid w:val="564C65D6"/>
    <w:rsid w:val="567C5151"/>
    <w:rsid w:val="56AE7DEE"/>
    <w:rsid w:val="56C03D53"/>
    <w:rsid w:val="570566FB"/>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526BB0"/>
    <w:rsid w:val="5B592543"/>
    <w:rsid w:val="5B625A37"/>
    <w:rsid w:val="5B9517C9"/>
    <w:rsid w:val="5BD44ADC"/>
    <w:rsid w:val="5BD90F55"/>
    <w:rsid w:val="5BDB318E"/>
    <w:rsid w:val="5BE35510"/>
    <w:rsid w:val="5BF45ECB"/>
    <w:rsid w:val="5C2B7745"/>
    <w:rsid w:val="5C473B62"/>
    <w:rsid w:val="5C603412"/>
    <w:rsid w:val="5C653304"/>
    <w:rsid w:val="5C69535E"/>
    <w:rsid w:val="5C7850AB"/>
    <w:rsid w:val="5C8B195F"/>
    <w:rsid w:val="5D5C3842"/>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3C7BA6"/>
    <w:rsid w:val="6142443C"/>
    <w:rsid w:val="614C01E1"/>
    <w:rsid w:val="616C2F18"/>
    <w:rsid w:val="616E185C"/>
    <w:rsid w:val="617A708C"/>
    <w:rsid w:val="61A6243F"/>
    <w:rsid w:val="61C70674"/>
    <w:rsid w:val="61E16260"/>
    <w:rsid w:val="6216207E"/>
    <w:rsid w:val="623023F7"/>
    <w:rsid w:val="62886207"/>
    <w:rsid w:val="62932805"/>
    <w:rsid w:val="62982C92"/>
    <w:rsid w:val="62B61157"/>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D9058B"/>
    <w:rsid w:val="6904500B"/>
    <w:rsid w:val="690B06A6"/>
    <w:rsid w:val="691D17C6"/>
    <w:rsid w:val="691D1CC7"/>
    <w:rsid w:val="69433D01"/>
    <w:rsid w:val="695D01E0"/>
    <w:rsid w:val="697D0373"/>
    <w:rsid w:val="69A94835"/>
    <w:rsid w:val="69DF403D"/>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D0896"/>
    <w:rsid w:val="7BE00A06"/>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0</TotalTime>
  <ScaleCrop>false</ScaleCrop>
  <LinksUpToDate>false</LinksUpToDate>
  <CharactersWithSpaces>16431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2024-07-18T08:12:53Z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BAA63AD7299E48AF8685600DEFE3D174_13</vt:lpwstr>
  </property>
</Properties>
</file>